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16D9" w14:textId="77777777" w:rsidR="005D1BF1" w:rsidRDefault="005D1BF1" w:rsidP="005D1BF1">
      <w:pPr>
        <w:jc w:val="center"/>
        <w:rPr>
          <w:rFonts w:ascii="ＭＳ Ｐ明朝" w:eastAsia="ＭＳ Ｐ明朝" w:hAnsi="ＭＳ Ｐ明朝"/>
          <w:b/>
          <w:sz w:val="22"/>
          <w:u w:val="single"/>
        </w:rPr>
      </w:pPr>
      <w:r w:rsidRPr="007F4851">
        <w:rPr>
          <w:rFonts w:ascii="ＭＳ Ｐ明朝" w:eastAsia="ＭＳ Ｐ明朝" w:hAnsi="ＭＳ Ｐ明朝" w:hint="eastAsia"/>
          <w:b/>
          <w:sz w:val="22"/>
          <w:u w:val="single"/>
        </w:rPr>
        <w:t>代理店におけるマネー・ローンダリング及びテロ資金供与の防止に関する</w:t>
      </w:r>
    </w:p>
    <w:p w14:paraId="63A63F86" w14:textId="77777777" w:rsidR="005D1BF1" w:rsidRPr="006D616D" w:rsidRDefault="005D1BF1" w:rsidP="005D1BF1">
      <w:pPr>
        <w:jc w:val="center"/>
        <w:rPr>
          <w:rFonts w:ascii="ＭＳ Ｐ明朝" w:eastAsia="ＭＳ Ｐ明朝" w:hAnsi="ＭＳ Ｐ明朝"/>
          <w:b/>
          <w:sz w:val="22"/>
          <w:u w:val="single"/>
        </w:rPr>
      </w:pPr>
      <w:r w:rsidRPr="007F4851">
        <w:rPr>
          <w:rFonts w:ascii="ＭＳ Ｐ明朝" w:eastAsia="ＭＳ Ｐ明朝" w:hAnsi="ＭＳ Ｐ明朝" w:hint="eastAsia"/>
          <w:b/>
          <w:sz w:val="22"/>
          <w:u w:val="single"/>
        </w:rPr>
        <w:t>規程ひな型</w:t>
      </w:r>
    </w:p>
    <w:p w14:paraId="7BDFD676" w14:textId="77777777" w:rsidR="005D1BF1" w:rsidRDefault="005D1BF1" w:rsidP="005D1BF1">
      <w:r>
        <w:rPr>
          <w:rFonts w:hint="eastAsia"/>
        </w:rPr>
        <w:t>【規程例】</w:t>
      </w:r>
    </w:p>
    <w:p w14:paraId="55336474" w14:textId="77777777" w:rsidR="005D1BF1" w:rsidRPr="00D3585B" w:rsidRDefault="005D1BF1" w:rsidP="005D1BF1">
      <w:pPr>
        <w:rPr>
          <w:rFonts w:ascii="ＭＳ Ｐ明朝" w:eastAsia="ＭＳ Ｐ明朝" w:hAnsi="ＭＳ Ｐ明朝"/>
          <w:color w:val="FF0000"/>
          <w:u w:val="single"/>
        </w:rPr>
      </w:pPr>
      <w:r w:rsidRPr="00D3585B">
        <w:rPr>
          <w:rFonts w:ascii="ＭＳ Ｐ明朝" w:eastAsia="ＭＳ Ｐ明朝" w:hAnsi="ＭＳ Ｐ明朝" w:hint="eastAsia"/>
          <w:color w:val="FF0000"/>
          <w:u w:val="single"/>
        </w:rPr>
        <w:t>１．お客さまとの取引時確認</w:t>
      </w:r>
    </w:p>
    <w:p w14:paraId="2FA18C16" w14:textId="77777777" w:rsidR="005D1BF1" w:rsidRPr="00D807F5" w:rsidRDefault="005D1BF1" w:rsidP="005D1BF1">
      <w:pPr>
        <w:ind w:leftChars="100" w:left="210"/>
        <w:rPr>
          <w:rFonts w:ascii="ＭＳ Ｐ明朝" w:eastAsia="ＭＳ Ｐ明朝" w:hAnsi="ＭＳ Ｐ明朝"/>
          <w:highlight w:val="yellow"/>
        </w:rPr>
      </w:pPr>
      <w:r>
        <w:rPr>
          <w:rFonts w:ascii="ＭＳ Ｐ明朝" w:eastAsia="ＭＳ Ｐ明朝" w:hAnsi="ＭＳ Ｐ明朝" w:hint="eastAsia"/>
          <w:highlight w:val="yellow"/>
        </w:rPr>
        <w:t>当社（当店）は</w:t>
      </w:r>
      <w:r w:rsidRPr="00D807F5">
        <w:rPr>
          <w:rFonts w:ascii="ＭＳ Ｐ明朝" w:eastAsia="ＭＳ Ｐ明朝" w:hAnsi="ＭＳ Ｐ明朝" w:hint="eastAsia"/>
          <w:highlight w:val="yellow"/>
        </w:rPr>
        <w:t>お客さまとの間で、貯蓄性の高い保険契約の締結や大口現金取引等、</w:t>
      </w:r>
      <w:r>
        <w:rPr>
          <w:rFonts w:ascii="ＭＳ Ｐ明朝" w:eastAsia="ＭＳ Ｐ明朝" w:hAnsi="ＭＳ Ｐ明朝" w:hint="eastAsia"/>
          <w:highlight w:val="yellow"/>
        </w:rPr>
        <w:t>「</w:t>
      </w:r>
      <w:r w:rsidRPr="00D807F5">
        <w:rPr>
          <w:rFonts w:ascii="ＭＳ Ｐ明朝" w:eastAsia="ＭＳ Ｐ明朝" w:hAnsi="ＭＳ Ｐ明朝" w:hint="eastAsia"/>
          <w:highlight w:val="yellow"/>
        </w:rPr>
        <w:t>犯罪による収益の移転防止に関する法律</w:t>
      </w:r>
      <w:r>
        <w:rPr>
          <w:rFonts w:ascii="ＭＳ Ｐ明朝" w:eastAsia="ＭＳ Ｐ明朝" w:hAnsi="ＭＳ Ｐ明朝" w:hint="eastAsia"/>
          <w:highlight w:val="yellow"/>
        </w:rPr>
        <w:t>」</w:t>
      </w:r>
      <w:r w:rsidRPr="00D807F5">
        <w:rPr>
          <w:rFonts w:ascii="ＭＳ Ｐ明朝" w:eastAsia="ＭＳ Ｐ明朝" w:hAnsi="ＭＳ Ｐ明朝" w:hint="eastAsia"/>
          <w:highlight w:val="yellow"/>
        </w:rPr>
        <w:t>（以下、犯収法）</w:t>
      </w:r>
      <w:r>
        <w:rPr>
          <w:rFonts w:ascii="ＭＳ Ｐ明朝" w:eastAsia="ＭＳ Ｐ明朝" w:hAnsi="ＭＳ Ｐ明朝" w:hint="eastAsia"/>
          <w:highlight w:val="yellow"/>
        </w:rPr>
        <w:t>上</w:t>
      </w:r>
      <w:r w:rsidRPr="00D807F5">
        <w:rPr>
          <w:rFonts w:ascii="ＭＳ Ｐ明朝" w:eastAsia="ＭＳ Ｐ明朝" w:hAnsi="ＭＳ Ｐ明朝" w:hint="eastAsia"/>
          <w:highlight w:val="yellow"/>
        </w:rPr>
        <w:t>の特定取引を取り扱う際には、各保険会社のリスクベース・アプローチに沿って策定された顧客管理等に関する取扱いルール等に沿って、取引時確認を適切に行います。</w:t>
      </w:r>
    </w:p>
    <w:p w14:paraId="6387E894" w14:textId="77777777" w:rsidR="005D1BF1" w:rsidRDefault="005D1BF1" w:rsidP="005D1BF1"/>
    <w:p w14:paraId="6FF265A2" w14:textId="77777777" w:rsidR="005D1BF1" w:rsidRPr="00D3585B" w:rsidRDefault="005D1BF1" w:rsidP="005D1BF1">
      <w:pPr>
        <w:widowControl/>
        <w:jc w:val="left"/>
        <w:rPr>
          <w:rFonts w:ascii="ＭＳ Ｐ明朝" w:eastAsia="ＭＳ Ｐ明朝" w:hAnsi="ＭＳ Ｐ明朝"/>
          <w:color w:val="FF0000"/>
          <w:u w:val="single"/>
        </w:rPr>
      </w:pPr>
      <w:r w:rsidRPr="00D3585B">
        <w:rPr>
          <w:rFonts w:ascii="ＭＳ Ｐ明朝" w:eastAsia="ＭＳ Ｐ明朝" w:hAnsi="ＭＳ Ｐ明朝" w:hint="eastAsia"/>
          <w:color w:val="FF0000"/>
          <w:u w:val="single"/>
        </w:rPr>
        <w:t>2．「疑わしい取引」の届出</w:t>
      </w:r>
    </w:p>
    <w:p w14:paraId="4131D8F5" w14:textId="77777777" w:rsidR="005D1BF1" w:rsidRPr="006D616D" w:rsidRDefault="005D1BF1" w:rsidP="005D1BF1">
      <w:pPr>
        <w:ind w:leftChars="100" w:left="210"/>
        <w:rPr>
          <w:rFonts w:ascii="ＭＳ Ｐ明朝" w:eastAsia="ＭＳ Ｐ明朝" w:hAnsi="ＭＳ Ｐ明朝"/>
        </w:rPr>
      </w:pPr>
      <w:r w:rsidRPr="00D807F5">
        <w:rPr>
          <w:rFonts w:ascii="ＭＳ Ｐ明朝" w:eastAsia="ＭＳ Ｐ明朝" w:hAnsi="ＭＳ Ｐ明朝" w:hint="eastAsia"/>
          <w:highlight w:val="yellow"/>
        </w:rPr>
        <w:t>当社（当店）において取り扱った取引のうち、犯収法において「疑わしい取引」の届出が求められる事項に該当すると判断される場合には、直ちに保険会社へ報告します。</w:t>
      </w:r>
    </w:p>
    <w:p w14:paraId="305D186E" w14:textId="77777777" w:rsidR="005D1BF1" w:rsidRDefault="005D1BF1" w:rsidP="005D1BF1"/>
    <w:p w14:paraId="7E7EFD3D" w14:textId="77777777" w:rsidR="005D1BF1" w:rsidRDefault="005D1BF1" w:rsidP="005D1BF1">
      <w:r>
        <w:rPr>
          <w:rFonts w:hint="eastAsia"/>
        </w:rPr>
        <w:t>【解説】</w:t>
      </w:r>
    </w:p>
    <w:p w14:paraId="68C5FFB9" w14:textId="77777777" w:rsidR="005D1BF1" w:rsidRPr="00322B26" w:rsidRDefault="005D1BF1" w:rsidP="005D1BF1">
      <w:pPr>
        <w:rPr>
          <w:rFonts w:ascii="ＭＳ Ｐ明朝" w:eastAsia="ＭＳ Ｐ明朝" w:hAnsi="ＭＳ Ｐ明朝"/>
        </w:rPr>
      </w:pPr>
      <w:r w:rsidRPr="00322B26">
        <w:rPr>
          <w:rFonts w:ascii="ＭＳ Ｐ明朝" w:eastAsia="ＭＳ Ｐ明朝" w:hAnsi="ＭＳ Ｐ明朝" w:hint="eastAsia"/>
        </w:rPr>
        <w:t>１．お客さまとの取引時確認</w:t>
      </w:r>
    </w:p>
    <w:p w14:paraId="0EF05213" w14:textId="77777777" w:rsidR="005D1BF1" w:rsidRDefault="005D1BF1" w:rsidP="005D1BF1">
      <w:pPr>
        <w:ind w:firstLineChars="100" w:firstLine="210"/>
        <w:rPr>
          <w:rFonts w:ascii="ＭＳ Ｐ明朝" w:eastAsia="ＭＳ Ｐ明朝" w:hAnsi="ＭＳ Ｐ明朝"/>
        </w:rPr>
      </w:pPr>
      <w:r>
        <w:rPr>
          <w:rFonts w:ascii="ＭＳ Ｐ明朝" w:eastAsia="ＭＳ Ｐ明朝" w:hAnsi="ＭＳ Ｐ明朝" w:hint="eastAsia"/>
        </w:rPr>
        <w:t>＜背景＞</w:t>
      </w:r>
    </w:p>
    <w:tbl>
      <w:tblPr>
        <w:tblStyle w:val="a8"/>
        <w:tblW w:w="0" w:type="auto"/>
        <w:tblInd w:w="108" w:type="dxa"/>
        <w:tblLook w:val="04A0" w:firstRow="1" w:lastRow="0" w:firstColumn="1" w:lastColumn="0" w:noHBand="0" w:noVBand="1"/>
      </w:tblPr>
      <w:tblGrid>
        <w:gridCol w:w="8366"/>
      </w:tblGrid>
      <w:tr w:rsidR="005D1BF1" w:rsidRPr="007F3EB7" w14:paraId="0EA9E681" w14:textId="77777777" w:rsidTr="00C83998">
        <w:tc>
          <w:tcPr>
            <w:tcW w:w="8612" w:type="dxa"/>
            <w:tcBorders>
              <w:top w:val="double" w:sz="4" w:space="0" w:color="auto"/>
              <w:left w:val="double" w:sz="4" w:space="0" w:color="auto"/>
              <w:bottom w:val="double" w:sz="4" w:space="0" w:color="auto"/>
              <w:right w:val="double" w:sz="4" w:space="0" w:color="auto"/>
            </w:tcBorders>
          </w:tcPr>
          <w:p w14:paraId="34894BAA" w14:textId="77777777" w:rsidR="005D1BF1" w:rsidRPr="003F6113" w:rsidRDefault="005D1BF1" w:rsidP="00C83998">
            <w:pPr>
              <w:pStyle w:val="a7"/>
              <w:numPr>
                <w:ilvl w:val="0"/>
                <w:numId w:val="1"/>
              </w:numPr>
              <w:ind w:leftChars="0"/>
              <w:rPr>
                <w:rFonts w:ascii="ＭＳ Ｐ明朝" w:eastAsia="ＭＳ Ｐ明朝" w:hAnsi="ＭＳ Ｐ明朝"/>
                <w:b/>
              </w:rPr>
            </w:pPr>
            <w:r w:rsidRPr="003F6113">
              <w:rPr>
                <w:rFonts w:ascii="ＭＳ Ｐ明朝" w:eastAsia="ＭＳ Ｐ明朝" w:hAnsi="ＭＳ Ｐ明朝" w:hint="eastAsia"/>
                <w:b/>
              </w:rPr>
              <w:t>マネー・ローンダリングとは、「違法な起源の収益の源泉を隠すこと」、すなわち犯罪行為で得た「汚れた資金」を正当な取引で得た「きれいな資金」のように見せかける行為や、金融商品などに形態を変えてその出所を隠す</w:t>
            </w:r>
            <w:r>
              <w:rPr>
                <w:rFonts w:ascii="ＭＳ Ｐ明朝" w:eastAsia="ＭＳ Ｐ明朝" w:hAnsi="ＭＳ Ｐ明朝" w:hint="eastAsia"/>
                <w:b/>
              </w:rPr>
              <w:t>等の</w:t>
            </w:r>
            <w:r w:rsidRPr="003F6113">
              <w:rPr>
                <w:rFonts w:ascii="ＭＳ Ｐ明朝" w:eastAsia="ＭＳ Ｐ明朝" w:hAnsi="ＭＳ Ｐ明朝" w:hint="eastAsia"/>
                <w:b/>
              </w:rPr>
              <w:t>行為をいいます。</w:t>
            </w:r>
          </w:p>
          <w:p w14:paraId="12288B68" w14:textId="77777777" w:rsidR="005D1BF1" w:rsidRPr="003F6113" w:rsidRDefault="005D1BF1" w:rsidP="00C83998">
            <w:pPr>
              <w:pStyle w:val="a7"/>
              <w:numPr>
                <w:ilvl w:val="0"/>
                <w:numId w:val="1"/>
              </w:numPr>
              <w:ind w:leftChars="0"/>
              <w:rPr>
                <w:rFonts w:ascii="ＭＳ Ｐ明朝" w:eastAsia="ＭＳ Ｐ明朝" w:hAnsi="ＭＳ Ｐ明朝"/>
                <w:b/>
              </w:rPr>
            </w:pPr>
            <w:r w:rsidRPr="003F6113">
              <w:rPr>
                <w:rFonts w:ascii="ＭＳ Ｐ明朝" w:eastAsia="ＭＳ Ｐ明朝" w:hAnsi="ＭＳ Ｐ明朝" w:hint="eastAsia"/>
                <w:b/>
              </w:rPr>
              <w:t>マネー・ローンダリング行為を放置すると、犯罪収益が新たな犯罪のために使用される・犯罪組織の維持拡大に使用されるなど、組織的な犯罪及びテロリズムを助長し健全な経済活動に重大な悪影響を与えるおそれがあります。</w:t>
            </w:r>
          </w:p>
          <w:p w14:paraId="3878D5AC" w14:textId="77777777" w:rsidR="005D1BF1" w:rsidRPr="00815E55" w:rsidRDefault="005D1BF1" w:rsidP="00C83998">
            <w:pPr>
              <w:pStyle w:val="a7"/>
              <w:numPr>
                <w:ilvl w:val="0"/>
                <w:numId w:val="1"/>
              </w:numPr>
              <w:ind w:leftChars="0"/>
              <w:rPr>
                <w:rFonts w:ascii="ＭＳ Ｐ明朝" w:eastAsia="ＭＳ Ｐ明朝" w:hAnsi="ＭＳ Ｐ明朝"/>
              </w:rPr>
            </w:pPr>
            <w:r w:rsidRPr="003F6113">
              <w:rPr>
                <w:rFonts w:ascii="ＭＳ Ｐ明朝" w:eastAsia="ＭＳ Ｐ明朝" w:hAnsi="ＭＳ Ｐ明朝" w:hint="eastAsia"/>
                <w:b/>
              </w:rPr>
              <w:t>そのため、「犯罪</w:t>
            </w:r>
            <w:r>
              <w:rPr>
                <w:rFonts w:ascii="ＭＳ Ｐ明朝" w:eastAsia="ＭＳ Ｐ明朝" w:hAnsi="ＭＳ Ｐ明朝" w:hint="eastAsia"/>
                <w:b/>
              </w:rPr>
              <w:t>による</w:t>
            </w:r>
            <w:r w:rsidRPr="003F6113">
              <w:rPr>
                <w:rFonts w:ascii="ＭＳ Ｐ明朝" w:eastAsia="ＭＳ Ｐ明朝" w:hAnsi="ＭＳ Ｐ明朝" w:hint="eastAsia"/>
                <w:b/>
              </w:rPr>
              <w:t>収益</w:t>
            </w:r>
            <w:r>
              <w:rPr>
                <w:rFonts w:ascii="ＭＳ Ｐ明朝" w:eastAsia="ＭＳ Ｐ明朝" w:hAnsi="ＭＳ Ｐ明朝" w:hint="eastAsia"/>
                <w:b/>
              </w:rPr>
              <w:t>の</w:t>
            </w:r>
            <w:r w:rsidRPr="003F6113">
              <w:rPr>
                <w:rFonts w:ascii="ＭＳ Ｐ明朝" w:eastAsia="ＭＳ Ｐ明朝" w:hAnsi="ＭＳ Ｐ明朝" w:hint="eastAsia"/>
                <w:b/>
              </w:rPr>
              <w:t>移転防止</w:t>
            </w:r>
            <w:r>
              <w:rPr>
                <w:rFonts w:ascii="ＭＳ Ｐ明朝" w:eastAsia="ＭＳ Ｐ明朝" w:hAnsi="ＭＳ Ｐ明朝" w:hint="eastAsia"/>
                <w:b/>
              </w:rPr>
              <w:t>に関する</w:t>
            </w:r>
            <w:r w:rsidRPr="003F6113">
              <w:rPr>
                <w:rFonts w:ascii="ＭＳ Ｐ明朝" w:eastAsia="ＭＳ Ｐ明朝" w:hAnsi="ＭＳ Ｐ明朝" w:hint="eastAsia"/>
                <w:b/>
              </w:rPr>
              <w:t>法</w:t>
            </w:r>
            <w:r>
              <w:rPr>
                <w:rFonts w:ascii="ＭＳ Ｐ明朝" w:eastAsia="ＭＳ Ｐ明朝" w:hAnsi="ＭＳ Ｐ明朝" w:hint="eastAsia"/>
                <w:b/>
              </w:rPr>
              <w:t>律</w:t>
            </w:r>
            <w:r w:rsidRPr="003F6113">
              <w:rPr>
                <w:rFonts w:ascii="ＭＳ Ｐ明朝" w:eastAsia="ＭＳ Ｐ明朝" w:hAnsi="ＭＳ Ｐ明朝" w:hint="eastAsia"/>
                <w:b/>
              </w:rPr>
              <w:t>」（以下、犯収法）では、金融機関等に対して、「取引時確認」、「確認記録・取引記録の作成・保存」、「マネー・ローンダリング等の疑いのある取引の行政への届出（以下、「疑わしい取引」の届出）」を義務付けており、保険募集におけるマネー・ローンダリング／テロ資金供与の防止対策として、代理店においては以下の対応が必要です。</w:t>
            </w:r>
          </w:p>
        </w:tc>
      </w:tr>
    </w:tbl>
    <w:p w14:paraId="26FC8D20" w14:textId="77777777" w:rsidR="005D1BF1" w:rsidRDefault="005D1BF1" w:rsidP="005D1BF1">
      <w:pPr>
        <w:rPr>
          <w:rFonts w:ascii="ＭＳ Ｐ明朝" w:eastAsia="ＭＳ Ｐ明朝" w:hAnsi="ＭＳ Ｐ明朝"/>
        </w:rPr>
      </w:pPr>
    </w:p>
    <w:p w14:paraId="41BEC92F" w14:textId="77777777" w:rsidR="005D1BF1" w:rsidRDefault="005D1BF1" w:rsidP="005D1BF1">
      <w:pPr>
        <w:ind w:firstLineChars="100" w:firstLine="210"/>
        <w:rPr>
          <w:rFonts w:ascii="ＭＳ Ｐ明朝" w:eastAsia="ＭＳ Ｐ明朝" w:hAnsi="ＭＳ Ｐ明朝"/>
        </w:rPr>
      </w:pPr>
      <w:r>
        <w:rPr>
          <w:rFonts w:ascii="ＭＳ Ｐ明朝" w:eastAsia="ＭＳ Ｐ明朝" w:hAnsi="ＭＳ Ｐ明朝" w:hint="eastAsia"/>
        </w:rPr>
        <w:t>＜犯収法において求められる取引時確認事項＞</w:t>
      </w:r>
    </w:p>
    <w:tbl>
      <w:tblPr>
        <w:tblStyle w:val="a8"/>
        <w:tblW w:w="4909" w:type="pct"/>
        <w:tblInd w:w="108" w:type="dxa"/>
        <w:tblLook w:val="04A0" w:firstRow="1" w:lastRow="0" w:firstColumn="1" w:lastColumn="0" w:noHBand="0" w:noVBand="1"/>
      </w:tblPr>
      <w:tblGrid>
        <w:gridCol w:w="4169"/>
        <w:gridCol w:w="4170"/>
      </w:tblGrid>
      <w:tr w:rsidR="005D1BF1" w14:paraId="04209258" w14:textId="77777777" w:rsidTr="00C83998">
        <w:tc>
          <w:tcPr>
            <w:tcW w:w="2500" w:type="pct"/>
          </w:tcPr>
          <w:p w14:paraId="4F38F1A1" w14:textId="77777777" w:rsidR="005D1BF1" w:rsidRDefault="005D1BF1" w:rsidP="00C83998">
            <w:pPr>
              <w:jc w:val="center"/>
              <w:rPr>
                <w:rFonts w:ascii="ＭＳ Ｐ明朝" w:eastAsia="ＭＳ Ｐ明朝" w:hAnsi="ＭＳ Ｐ明朝"/>
              </w:rPr>
            </w:pPr>
            <w:r>
              <w:rPr>
                <w:rFonts w:ascii="ＭＳ Ｐ明朝" w:eastAsia="ＭＳ Ｐ明朝" w:hAnsi="ＭＳ Ｐ明朝" w:hint="eastAsia"/>
              </w:rPr>
              <w:t>個人のお客さま</w:t>
            </w:r>
          </w:p>
        </w:tc>
        <w:tc>
          <w:tcPr>
            <w:tcW w:w="2500" w:type="pct"/>
          </w:tcPr>
          <w:p w14:paraId="569A9A5C" w14:textId="77777777" w:rsidR="005D1BF1" w:rsidRDefault="005D1BF1" w:rsidP="00C83998">
            <w:pPr>
              <w:jc w:val="center"/>
              <w:rPr>
                <w:rFonts w:ascii="ＭＳ Ｐ明朝" w:eastAsia="ＭＳ Ｐ明朝" w:hAnsi="ＭＳ Ｐ明朝"/>
              </w:rPr>
            </w:pPr>
            <w:r>
              <w:rPr>
                <w:rFonts w:ascii="ＭＳ Ｐ明朝" w:eastAsia="ＭＳ Ｐ明朝" w:hAnsi="ＭＳ Ｐ明朝" w:hint="eastAsia"/>
              </w:rPr>
              <w:t>法人のお客さま</w:t>
            </w:r>
          </w:p>
        </w:tc>
      </w:tr>
      <w:tr w:rsidR="005D1BF1" w:rsidRPr="00F91E04" w14:paraId="09054628" w14:textId="77777777" w:rsidTr="00C83998">
        <w:tc>
          <w:tcPr>
            <w:tcW w:w="2500" w:type="pct"/>
          </w:tcPr>
          <w:p w14:paraId="709AE20E" w14:textId="77777777" w:rsidR="005D1BF1" w:rsidRPr="00FE3C51" w:rsidRDefault="005D1BF1" w:rsidP="00C83998">
            <w:pPr>
              <w:rPr>
                <w:rFonts w:ascii="ＭＳ Ｐ明朝" w:eastAsia="ＭＳ Ｐ明朝" w:hAnsi="ＭＳ Ｐ明朝"/>
              </w:rPr>
            </w:pPr>
            <w:r w:rsidRPr="00F91E04">
              <w:rPr>
                <w:rFonts w:ascii="ＭＳ Ｐ明朝" w:eastAsia="ＭＳ Ｐ明朝" w:hAnsi="ＭＳ Ｐ明朝" w:hint="eastAsia"/>
              </w:rPr>
              <w:t>本人特定事項（「氏名」、「住所」、「生年月日」）</w:t>
            </w:r>
            <w:r>
              <w:rPr>
                <w:rFonts w:ascii="ＭＳ Ｐ明朝" w:eastAsia="ＭＳ Ｐ明朝" w:hAnsi="ＭＳ Ｐ明朝" w:hint="eastAsia"/>
              </w:rPr>
              <w:t>のほか</w:t>
            </w:r>
            <w:r w:rsidRPr="00F91E04">
              <w:rPr>
                <w:rFonts w:ascii="ＭＳ Ｐ明朝" w:eastAsia="ＭＳ Ｐ明朝" w:hAnsi="ＭＳ Ｐ明朝" w:hint="eastAsia"/>
              </w:rPr>
              <w:t>、</w:t>
            </w:r>
            <w:r w:rsidRPr="003F6113">
              <w:rPr>
                <w:rFonts w:ascii="ＭＳ Ｐ明朝" w:eastAsia="ＭＳ Ｐ明朝" w:hAnsi="ＭＳ Ｐ明朝" w:hint="eastAsia"/>
                <w:u w:val="single"/>
              </w:rPr>
              <w:t>「取引目的」、「職業」、「外国PEPs等の該当可否」、「取引担当者の代理権」を確認</w:t>
            </w:r>
          </w:p>
        </w:tc>
        <w:tc>
          <w:tcPr>
            <w:tcW w:w="2500" w:type="pct"/>
          </w:tcPr>
          <w:p w14:paraId="00DF13BF" w14:textId="77777777" w:rsidR="005D1BF1" w:rsidRPr="00FE3C51" w:rsidRDefault="005D1BF1" w:rsidP="00C83998">
            <w:pPr>
              <w:rPr>
                <w:rFonts w:ascii="ＭＳ Ｐ明朝" w:eastAsia="ＭＳ Ｐ明朝" w:hAnsi="ＭＳ Ｐ明朝"/>
              </w:rPr>
            </w:pPr>
            <w:r>
              <w:rPr>
                <w:rFonts w:ascii="ＭＳ Ｐ明朝" w:eastAsia="ＭＳ Ｐ明朝" w:hAnsi="ＭＳ Ｐ明朝" w:hint="eastAsia"/>
              </w:rPr>
              <w:t>法人及び代表者の</w:t>
            </w:r>
            <w:r w:rsidRPr="00F91E04">
              <w:rPr>
                <w:rFonts w:ascii="ＭＳ Ｐ明朝" w:eastAsia="ＭＳ Ｐ明朝" w:hAnsi="ＭＳ Ｐ明朝" w:hint="eastAsia"/>
              </w:rPr>
              <w:t>本人特定事項（「名称」、「所在地」「氏名」、「住所」、「生年月日」）、</w:t>
            </w:r>
            <w:r w:rsidRPr="003F6113">
              <w:rPr>
                <w:rFonts w:ascii="ＭＳ Ｐ明朝" w:eastAsia="ＭＳ Ｐ明朝" w:hAnsi="ＭＳ Ｐ明朝" w:hint="eastAsia"/>
                <w:u w:val="single"/>
              </w:rPr>
              <w:t>「取引目的」、「事業内容」、「法人の実質的支配者</w:t>
            </w:r>
            <w:r>
              <w:rPr>
                <w:rFonts w:ascii="ＭＳ Ｐ明朝" w:eastAsia="ＭＳ Ｐ明朝" w:hAnsi="ＭＳ Ｐ明朝" w:hint="eastAsia"/>
                <w:u w:val="single"/>
              </w:rPr>
              <w:t>の有無</w:t>
            </w:r>
            <w:r w:rsidRPr="003F6113">
              <w:rPr>
                <w:rFonts w:ascii="ＭＳ Ｐ明朝" w:eastAsia="ＭＳ Ｐ明朝" w:hAnsi="ＭＳ Ｐ明朝" w:hint="eastAsia"/>
                <w:u w:val="single"/>
              </w:rPr>
              <w:t>」、</w:t>
            </w:r>
            <w:r>
              <w:rPr>
                <w:rFonts w:ascii="ＭＳ Ｐ明朝" w:eastAsia="ＭＳ Ｐ明朝" w:hAnsi="ＭＳ Ｐ明朝" w:hint="eastAsia"/>
                <w:u w:val="single"/>
              </w:rPr>
              <w:t>「実質的支配者の本人特定事項」、</w:t>
            </w:r>
            <w:r w:rsidRPr="003F6113">
              <w:rPr>
                <w:rFonts w:ascii="ＭＳ Ｐ明朝" w:eastAsia="ＭＳ Ｐ明朝" w:hAnsi="ＭＳ Ｐ明朝" w:hint="eastAsia"/>
                <w:u w:val="single"/>
              </w:rPr>
              <w:t>「実質的支配者が外国PEPs等の該当可否」、「取引担当者の代理権」を確認</w:t>
            </w:r>
          </w:p>
        </w:tc>
      </w:tr>
    </w:tbl>
    <w:p w14:paraId="2A610FC0" w14:textId="77777777" w:rsidR="005D1BF1" w:rsidRDefault="005D1BF1" w:rsidP="005D1BF1">
      <w:pPr>
        <w:ind w:firstLineChars="100" w:firstLine="210"/>
        <w:rPr>
          <w:rFonts w:ascii="ＭＳ Ｐ明朝" w:eastAsia="ＭＳ Ｐ明朝" w:hAnsi="ＭＳ Ｐ明朝"/>
        </w:rPr>
      </w:pPr>
    </w:p>
    <w:p w14:paraId="68A605F6" w14:textId="77777777" w:rsidR="005D1BF1" w:rsidRDefault="005D1BF1" w:rsidP="005D1BF1">
      <w:pPr>
        <w:ind w:leftChars="100" w:left="420" w:hangingChars="100" w:hanging="210"/>
        <w:rPr>
          <w:rFonts w:ascii="ＭＳ Ｐ明朝" w:eastAsia="ＭＳ Ｐ明朝" w:hAnsi="ＭＳ Ｐ明朝"/>
        </w:rPr>
      </w:pPr>
      <w:r>
        <w:rPr>
          <w:rFonts w:ascii="ＭＳ Ｐ明朝" w:eastAsia="ＭＳ Ｐ明朝" w:hAnsi="ＭＳ Ｐ明朝" w:hint="eastAsia"/>
        </w:rPr>
        <w:t>※上記に加えてハイリスク取引かつ</w:t>
      </w:r>
      <w:r w:rsidRPr="00405FB0">
        <w:rPr>
          <w:rFonts w:ascii="ＭＳ Ｐ明朝" w:eastAsia="ＭＳ Ｐ明朝" w:hAnsi="ＭＳ Ｐ明朝" w:hint="eastAsia"/>
        </w:rPr>
        <w:t>200万円超の財産の移転有</w:t>
      </w:r>
      <w:r>
        <w:rPr>
          <w:rFonts w:ascii="ＭＳ Ｐ明朝" w:eastAsia="ＭＳ Ｐ明朝" w:hAnsi="ＭＳ Ｐ明朝" w:hint="eastAsia"/>
        </w:rPr>
        <w:t>の場合は、「</w:t>
      </w:r>
      <w:r w:rsidRPr="00405FB0">
        <w:rPr>
          <w:rFonts w:ascii="ＭＳ Ｐ明朝" w:eastAsia="ＭＳ Ｐ明朝" w:hAnsi="ＭＳ Ｐ明朝" w:hint="eastAsia"/>
        </w:rPr>
        <w:t>資産および収入の</w:t>
      </w:r>
      <w:r>
        <w:rPr>
          <w:rFonts w:ascii="ＭＳ Ｐ明朝" w:eastAsia="ＭＳ Ｐ明朝" w:hAnsi="ＭＳ Ｐ明朝"/>
        </w:rPr>
        <w:br/>
      </w:r>
      <w:r w:rsidRPr="00405FB0">
        <w:rPr>
          <w:rFonts w:ascii="ＭＳ Ｐ明朝" w:eastAsia="ＭＳ Ｐ明朝" w:hAnsi="ＭＳ Ｐ明朝" w:hint="eastAsia"/>
        </w:rPr>
        <w:t>状況</w:t>
      </w:r>
      <w:r>
        <w:rPr>
          <w:rFonts w:ascii="ＭＳ Ｐ明朝" w:eastAsia="ＭＳ Ｐ明朝" w:hAnsi="ＭＳ Ｐ明朝" w:hint="eastAsia"/>
        </w:rPr>
        <w:t>」を確認</w:t>
      </w:r>
    </w:p>
    <w:p w14:paraId="443FA252" w14:textId="77777777" w:rsidR="005D1BF1" w:rsidRPr="005133CC" w:rsidRDefault="005D1BF1" w:rsidP="005D1BF1">
      <w:pPr>
        <w:pStyle w:val="a7"/>
        <w:numPr>
          <w:ilvl w:val="0"/>
          <w:numId w:val="2"/>
        </w:numPr>
        <w:ind w:leftChars="0"/>
        <w:rPr>
          <w:rFonts w:ascii="ＭＳ Ｐ明朝" w:eastAsia="ＭＳ Ｐ明朝" w:hAnsi="ＭＳ Ｐ明朝"/>
        </w:rPr>
      </w:pPr>
      <w:r w:rsidRPr="005133CC">
        <w:rPr>
          <w:rFonts w:ascii="ＭＳ Ｐ明朝" w:eastAsia="ＭＳ Ｐ明朝" w:hAnsi="ＭＳ Ｐ明朝" w:hint="eastAsia"/>
        </w:rPr>
        <w:t>犯収法におけるハイリスク取引</w:t>
      </w:r>
    </w:p>
    <w:p w14:paraId="5842EDD1" w14:textId="77777777" w:rsidR="005D1BF1" w:rsidRPr="00F84010" w:rsidRDefault="005D1BF1" w:rsidP="005D1BF1">
      <w:pPr>
        <w:rPr>
          <w:rFonts w:ascii="ＭＳ Ｐ明朝" w:eastAsia="ＭＳ Ｐ明朝" w:hAnsi="ＭＳ Ｐ明朝"/>
        </w:rPr>
      </w:pPr>
      <w:r>
        <w:rPr>
          <w:rFonts w:ascii="ＭＳ Ｐ明朝" w:eastAsia="ＭＳ Ｐ明朝" w:hAnsi="ＭＳ Ｐ明朝" w:hint="eastAsia"/>
        </w:rPr>
        <w:t xml:space="preserve">　　</w:t>
      </w:r>
      <w:r w:rsidRPr="00F84010">
        <w:rPr>
          <w:rFonts w:ascii="ＭＳ Ｐ明朝" w:eastAsia="ＭＳ Ｐ明朝" w:hAnsi="ＭＳ Ｐ明朝" w:hint="eastAsia"/>
        </w:rPr>
        <w:t xml:space="preserve">　</w:t>
      </w:r>
      <w:r>
        <w:rPr>
          <w:rFonts w:ascii="ＭＳ Ｐ明朝" w:eastAsia="ＭＳ Ｐ明朝" w:hAnsi="ＭＳ Ｐ明朝" w:hint="eastAsia"/>
        </w:rPr>
        <w:t xml:space="preserve">　</w:t>
      </w:r>
      <w:r w:rsidRPr="00F84010">
        <w:rPr>
          <w:rFonts w:ascii="ＭＳ Ｐ明朝" w:eastAsia="ＭＳ Ｐ明朝" w:hAnsi="ＭＳ Ｐ明朝" w:hint="eastAsia"/>
        </w:rPr>
        <w:t>-</w:t>
      </w:r>
      <w:r>
        <w:rPr>
          <w:rFonts w:ascii="ＭＳ Ｐ明朝" w:eastAsia="ＭＳ Ｐ明朝" w:hAnsi="ＭＳ Ｐ明朝" w:hint="eastAsia"/>
        </w:rPr>
        <w:t xml:space="preserve"> </w:t>
      </w:r>
      <w:r w:rsidRPr="00F84010">
        <w:rPr>
          <w:rFonts w:ascii="ＭＳ Ｐ明朝" w:eastAsia="ＭＳ Ｐ明朝" w:hAnsi="ＭＳ Ｐ明朝" w:hint="eastAsia"/>
        </w:rPr>
        <w:t>過去の契約の際に確認した顧客等または代表者等になりすましている疑いがある取引</w:t>
      </w:r>
    </w:p>
    <w:p w14:paraId="1AAA5673" w14:textId="77777777" w:rsidR="005D1BF1" w:rsidRPr="00F84010" w:rsidRDefault="005D1BF1" w:rsidP="005D1BF1">
      <w:pPr>
        <w:rPr>
          <w:rFonts w:ascii="ＭＳ Ｐ明朝" w:eastAsia="ＭＳ Ｐ明朝" w:hAnsi="ＭＳ Ｐ明朝"/>
        </w:rPr>
      </w:pPr>
      <w:r w:rsidRPr="00F84010">
        <w:rPr>
          <w:rFonts w:ascii="ＭＳ Ｐ明朝" w:eastAsia="ＭＳ Ｐ明朝" w:hAnsi="ＭＳ Ｐ明朝" w:hint="eastAsia"/>
        </w:rPr>
        <w:t xml:space="preserve">　</w:t>
      </w:r>
      <w:r>
        <w:rPr>
          <w:rFonts w:ascii="ＭＳ Ｐ明朝" w:eastAsia="ＭＳ Ｐ明朝" w:hAnsi="ＭＳ Ｐ明朝" w:hint="eastAsia"/>
        </w:rPr>
        <w:t xml:space="preserve">　　　</w:t>
      </w:r>
      <w:r w:rsidRPr="00F84010">
        <w:rPr>
          <w:rFonts w:ascii="ＭＳ Ｐ明朝" w:eastAsia="ＭＳ Ｐ明朝" w:hAnsi="ＭＳ Ｐ明朝" w:hint="eastAsia"/>
        </w:rPr>
        <w:t>-</w:t>
      </w:r>
      <w:r>
        <w:rPr>
          <w:rFonts w:ascii="ＭＳ Ｐ明朝" w:eastAsia="ＭＳ Ｐ明朝" w:hAnsi="ＭＳ Ｐ明朝" w:hint="eastAsia"/>
        </w:rPr>
        <w:t xml:space="preserve"> </w:t>
      </w:r>
      <w:r w:rsidRPr="00F84010">
        <w:rPr>
          <w:rFonts w:ascii="ＭＳ Ｐ明朝" w:eastAsia="ＭＳ Ｐ明朝" w:hAnsi="ＭＳ Ｐ明朝" w:hint="eastAsia"/>
        </w:rPr>
        <w:t>過去の契約時の確認の際に確認事項を偽っていた疑いがある顧客等との取引</w:t>
      </w:r>
    </w:p>
    <w:p w14:paraId="13C3465B" w14:textId="77777777" w:rsidR="005D1BF1" w:rsidRPr="00F84010" w:rsidRDefault="005D1BF1" w:rsidP="005D1BF1">
      <w:pPr>
        <w:rPr>
          <w:rFonts w:ascii="ＭＳ Ｐ明朝" w:eastAsia="ＭＳ Ｐ明朝" w:hAnsi="ＭＳ Ｐ明朝"/>
        </w:rPr>
      </w:pPr>
      <w:r w:rsidRPr="00F84010">
        <w:rPr>
          <w:rFonts w:ascii="ＭＳ Ｐ明朝" w:eastAsia="ＭＳ Ｐ明朝" w:hAnsi="ＭＳ Ｐ明朝" w:hint="eastAsia"/>
        </w:rPr>
        <w:t xml:space="preserve">　</w:t>
      </w:r>
      <w:r>
        <w:rPr>
          <w:rFonts w:ascii="ＭＳ Ｐ明朝" w:eastAsia="ＭＳ Ｐ明朝" w:hAnsi="ＭＳ Ｐ明朝" w:hint="eastAsia"/>
        </w:rPr>
        <w:t xml:space="preserve">　　　</w:t>
      </w:r>
      <w:r w:rsidRPr="00F84010">
        <w:rPr>
          <w:rFonts w:ascii="ＭＳ Ｐ明朝" w:eastAsia="ＭＳ Ｐ明朝" w:hAnsi="ＭＳ Ｐ明朝" w:hint="eastAsia"/>
        </w:rPr>
        <w:t>-</w:t>
      </w:r>
      <w:r>
        <w:rPr>
          <w:rFonts w:ascii="ＭＳ Ｐ明朝" w:eastAsia="ＭＳ Ｐ明朝" w:hAnsi="ＭＳ Ｐ明朝" w:hint="eastAsia"/>
        </w:rPr>
        <w:t xml:space="preserve"> </w:t>
      </w:r>
      <w:r w:rsidRPr="00F84010">
        <w:rPr>
          <w:rFonts w:ascii="ＭＳ Ｐ明朝" w:eastAsia="ＭＳ Ｐ明朝" w:hAnsi="ＭＳ Ｐ明朝" w:hint="eastAsia"/>
        </w:rPr>
        <w:t>イラン・北朝鮮に居住、所在する者との取引</w:t>
      </w:r>
    </w:p>
    <w:p w14:paraId="456EDCF6" w14:textId="77777777" w:rsidR="005D1BF1" w:rsidRDefault="005D1BF1" w:rsidP="005D1BF1">
      <w:pPr>
        <w:ind w:left="840" w:hangingChars="400" w:hanging="840"/>
        <w:rPr>
          <w:rFonts w:ascii="ＭＳ Ｐ明朝" w:eastAsia="ＭＳ Ｐ明朝" w:hAnsi="ＭＳ Ｐ明朝"/>
        </w:rPr>
      </w:pPr>
      <w:r w:rsidRPr="00F84010">
        <w:rPr>
          <w:rFonts w:ascii="ＭＳ Ｐ明朝" w:eastAsia="ＭＳ Ｐ明朝" w:hAnsi="ＭＳ Ｐ明朝" w:hint="eastAsia"/>
        </w:rPr>
        <w:t xml:space="preserve">　</w:t>
      </w:r>
      <w:r>
        <w:rPr>
          <w:rFonts w:ascii="ＭＳ Ｐ明朝" w:eastAsia="ＭＳ Ｐ明朝" w:hAnsi="ＭＳ Ｐ明朝" w:hint="eastAsia"/>
        </w:rPr>
        <w:t xml:space="preserve">　　　</w:t>
      </w:r>
      <w:r w:rsidRPr="00F84010">
        <w:rPr>
          <w:rFonts w:ascii="ＭＳ Ｐ明朝" w:eastAsia="ＭＳ Ｐ明朝" w:hAnsi="ＭＳ Ｐ明朝" w:hint="eastAsia"/>
        </w:rPr>
        <w:t>-</w:t>
      </w:r>
      <w:r>
        <w:rPr>
          <w:rFonts w:ascii="ＭＳ Ｐ明朝" w:eastAsia="ＭＳ Ｐ明朝" w:hAnsi="ＭＳ Ｐ明朝" w:hint="eastAsia"/>
        </w:rPr>
        <w:t xml:space="preserve"> </w:t>
      </w:r>
      <w:r w:rsidRPr="00F84010">
        <w:rPr>
          <w:rFonts w:ascii="ＭＳ Ｐ明朝" w:eastAsia="ＭＳ Ｐ明朝" w:hAnsi="ＭＳ Ｐ明朝" w:hint="eastAsia"/>
        </w:rPr>
        <w:t>外国の重要な公的地位にある者（外国PEPｓ）等との取引　（PEPｓ：Politically Exposed</w:t>
      </w:r>
      <w:r>
        <w:rPr>
          <w:rFonts w:ascii="ＭＳ Ｐ明朝" w:eastAsia="ＭＳ Ｐ明朝" w:hAnsi="ＭＳ Ｐ明朝" w:hint="eastAsia"/>
        </w:rPr>
        <w:t xml:space="preserve"> </w:t>
      </w:r>
      <w:r>
        <w:rPr>
          <w:rFonts w:ascii="ＭＳ Ｐ明朝" w:eastAsia="ＭＳ Ｐ明朝" w:hAnsi="ＭＳ Ｐ明朝"/>
        </w:rPr>
        <w:br/>
      </w:r>
      <w:r w:rsidRPr="00F84010">
        <w:rPr>
          <w:rFonts w:ascii="ＭＳ Ｐ明朝" w:eastAsia="ＭＳ Ｐ明朝" w:hAnsi="ＭＳ Ｐ明朝" w:hint="eastAsia"/>
        </w:rPr>
        <w:t>Persons）</w:t>
      </w:r>
    </w:p>
    <w:p w14:paraId="491FA348" w14:textId="77777777" w:rsidR="005D1BF1" w:rsidRPr="003F6113" w:rsidRDefault="005D1BF1" w:rsidP="005D1BF1">
      <w:pPr>
        <w:ind w:firstLineChars="100" w:firstLine="210"/>
        <w:rPr>
          <w:rFonts w:ascii="ＭＳ Ｐ明朝" w:eastAsia="ＭＳ Ｐ明朝" w:hAnsi="ＭＳ Ｐ明朝"/>
          <w:bdr w:val="single" w:sz="4" w:space="0" w:color="auto"/>
        </w:rPr>
      </w:pPr>
      <w:r>
        <w:rPr>
          <w:rFonts w:ascii="ＭＳ Ｐ明朝" w:eastAsia="ＭＳ Ｐ明朝" w:hAnsi="ＭＳ Ｐ明朝" w:hint="eastAsia"/>
        </w:rPr>
        <w:t>＜</w:t>
      </w:r>
      <w:r w:rsidRPr="0036401B">
        <w:rPr>
          <w:rFonts w:ascii="ＭＳ Ｐ明朝" w:eastAsia="ＭＳ Ｐ明朝" w:hAnsi="ＭＳ Ｐ明朝" w:hint="eastAsia"/>
        </w:rPr>
        <w:t>実務上の留意事項</w:t>
      </w:r>
      <w:r>
        <w:rPr>
          <w:rFonts w:ascii="ＭＳ Ｐ明朝" w:eastAsia="ＭＳ Ｐ明朝" w:hAnsi="ＭＳ Ｐ明朝" w:hint="eastAsia"/>
        </w:rPr>
        <w:t>＞</w:t>
      </w:r>
    </w:p>
    <w:tbl>
      <w:tblPr>
        <w:tblStyle w:val="a8"/>
        <w:tblW w:w="0" w:type="auto"/>
        <w:tblInd w:w="108" w:type="dxa"/>
        <w:tblLook w:val="04A0" w:firstRow="1" w:lastRow="0" w:firstColumn="1" w:lastColumn="0" w:noHBand="0" w:noVBand="1"/>
      </w:tblPr>
      <w:tblGrid>
        <w:gridCol w:w="8386"/>
      </w:tblGrid>
      <w:tr w:rsidR="005D1BF1" w14:paraId="7F7598D3" w14:textId="77777777" w:rsidTr="00C83998">
        <w:tc>
          <w:tcPr>
            <w:tcW w:w="9781" w:type="dxa"/>
            <w:tcBorders>
              <w:top w:val="dashSmallGap" w:sz="4" w:space="0" w:color="auto"/>
              <w:left w:val="dashSmallGap" w:sz="4" w:space="0" w:color="auto"/>
              <w:bottom w:val="dashSmallGap" w:sz="4" w:space="0" w:color="auto"/>
              <w:right w:val="dashSmallGap" w:sz="4" w:space="0" w:color="auto"/>
            </w:tcBorders>
          </w:tcPr>
          <w:p w14:paraId="5DC7D9CC" w14:textId="77777777" w:rsidR="005D1BF1" w:rsidRDefault="005D1BF1" w:rsidP="00C83998">
            <w:pPr>
              <w:ind w:leftChars="100" w:left="525" w:hangingChars="150" w:hanging="315"/>
              <w:rPr>
                <w:rFonts w:ascii="ＭＳ Ｐ明朝" w:eastAsia="ＭＳ Ｐ明朝" w:hAnsi="ＭＳ Ｐ明朝"/>
              </w:rPr>
            </w:pPr>
            <w:r>
              <w:rPr>
                <w:rFonts w:ascii="ＭＳ Ｐ明朝" w:eastAsia="ＭＳ Ｐ明朝" w:hAnsi="ＭＳ Ｐ明朝" w:hint="eastAsia"/>
              </w:rPr>
              <w:t xml:space="preserve">　①上記取引時確認において本人特定事項を確認する際には、運転免許証・パスポート・個人番号カード等の犯収法令上の本人確認書類としての要件を充たす証明書等により実施する必要があります。</w:t>
            </w:r>
          </w:p>
          <w:p w14:paraId="56FB3C60" w14:textId="77777777" w:rsidR="005D1BF1" w:rsidRDefault="005D1BF1" w:rsidP="00C83998">
            <w:pPr>
              <w:ind w:leftChars="288" w:left="1025" w:hangingChars="200" w:hanging="420"/>
              <w:rPr>
                <w:rFonts w:ascii="ＭＳ Ｐ明朝" w:eastAsia="ＭＳ Ｐ明朝" w:hAnsi="ＭＳ Ｐ明朝"/>
              </w:rPr>
            </w:pPr>
            <w:r>
              <w:rPr>
                <w:rFonts w:ascii="ＭＳ Ｐ明朝" w:eastAsia="ＭＳ Ｐ明朝" w:hAnsi="ＭＳ Ｐ明朝" w:hint="eastAsia"/>
              </w:rPr>
              <w:t>（注）健康保険証の提示のみでは犯収法令上の本人確認書類要件を充たさないため、これに代えて運転免許証、パスポート、個人番号カード等の提示を求めるか、あるいは健康保険証と共に印鑑登録証明書又は社会保険料や公共料金の領収証書等の提示を求めることが必要となります。</w:t>
            </w:r>
          </w:p>
          <w:p w14:paraId="7F4823D6" w14:textId="77777777" w:rsidR="005D1BF1" w:rsidRDefault="005D1BF1" w:rsidP="00C83998">
            <w:pPr>
              <w:ind w:leftChars="100" w:left="525" w:hangingChars="150" w:hanging="315"/>
              <w:rPr>
                <w:rFonts w:ascii="ＭＳ Ｐ明朝" w:eastAsia="ＭＳ Ｐ明朝" w:hAnsi="ＭＳ Ｐ明朝"/>
              </w:rPr>
            </w:pPr>
            <w:r>
              <w:rPr>
                <w:rFonts w:ascii="ＭＳ Ｐ明朝" w:eastAsia="ＭＳ Ｐ明朝" w:hAnsi="ＭＳ Ｐ明朝" w:hint="eastAsia"/>
              </w:rPr>
              <w:t xml:space="preserve">　②保険会社によっては、上記のほか、</w:t>
            </w:r>
            <w:r w:rsidRPr="00815E55">
              <w:rPr>
                <w:rFonts w:ascii="ＭＳ Ｐ明朝" w:eastAsia="ＭＳ Ｐ明朝" w:hAnsi="ＭＳ Ｐ明朝" w:hint="eastAsia"/>
              </w:rPr>
              <w:t>マネー・ローンダリング／テロ資金供与の防止</w:t>
            </w:r>
            <w:r>
              <w:rPr>
                <w:rFonts w:ascii="ＭＳ Ｐ明朝" w:eastAsia="ＭＳ Ｐ明朝" w:hAnsi="ＭＳ Ｐ明朝" w:hint="eastAsia"/>
              </w:rPr>
              <w:t>の観点から追加的な情報取得を求めている場合があるため、それぞれの事務マニュアルに従って取引時確認を行う必要があります。また、保険会社の判断により、</w:t>
            </w:r>
            <w:r w:rsidRPr="007E1D0A">
              <w:rPr>
                <w:rFonts w:ascii="ＭＳ Ｐ明朝" w:eastAsia="ＭＳ Ｐ明朝" w:hAnsi="ＭＳ Ｐ明朝" w:hint="eastAsia"/>
              </w:rPr>
              <w:t>追加のお客さま情報の取得が</w:t>
            </w:r>
            <w:r>
              <w:rPr>
                <w:rFonts w:ascii="ＭＳ Ｐ明朝" w:eastAsia="ＭＳ Ｐ明朝" w:hAnsi="ＭＳ Ｐ明朝" w:hint="eastAsia"/>
              </w:rPr>
              <w:t>求められた場合には</w:t>
            </w:r>
            <w:r w:rsidRPr="007E1D0A">
              <w:rPr>
                <w:rFonts w:ascii="ＭＳ Ｐ明朝" w:eastAsia="ＭＳ Ｐ明朝" w:hAnsi="ＭＳ Ｐ明朝" w:hint="eastAsia"/>
              </w:rPr>
              <w:t>、</w:t>
            </w:r>
            <w:r>
              <w:rPr>
                <w:rFonts w:ascii="ＭＳ Ｐ明朝" w:eastAsia="ＭＳ Ｐ明朝" w:hAnsi="ＭＳ Ｐ明朝" w:hint="eastAsia"/>
              </w:rPr>
              <w:t>適切に</w:t>
            </w:r>
            <w:r w:rsidRPr="007E1D0A">
              <w:rPr>
                <w:rFonts w:ascii="ＭＳ Ｐ明朝" w:eastAsia="ＭＳ Ｐ明朝" w:hAnsi="ＭＳ Ｐ明朝" w:hint="eastAsia"/>
              </w:rPr>
              <w:t>追加情報</w:t>
            </w:r>
            <w:r>
              <w:rPr>
                <w:rFonts w:ascii="ＭＳ Ｐ明朝" w:eastAsia="ＭＳ Ｐ明朝" w:hAnsi="ＭＳ Ｐ明朝" w:hint="eastAsia"/>
              </w:rPr>
              <w:t>を</w:t>
            </w:r>
            <w:r w:rsidRPr="007E1D0A">
              <w:rPr>
                <w:rFonts w:ascii="ＭＳ Ｐ明朝" w:eastAsia="ＭＳ Ｐ明朝" w:hAnsi="ＭＳ Ｐ明朝" w:hint="eastAsia"/>
              </w:rPr>
              <w:t>取得</w:t>
            </w:r>
            <w:r>
              <w:rPr>
                <w:rFonts w:ascii="ＭＳ Ｐ明朝" w:eastAsia="ＭＳ Ｐ明朝" w:hAnsi="ＭＳ Ｐ明朝" w:hint="eastAsia"/>
              </w:rPr>
              <w:t>し</w:t>
            </w:r>
            <w:r w:rsidRPr="007E1D0A">
              <w:rPr>
                <w:rFonts w:ascii="ＭＳ Ｐ明朝" w:eastAsia="ＭＳ Ｐ明朝" w:hAnsi="ＭＳ Ｐ明朝" w:hint="eastAsia"/>
              </w:rPr>
              <w:t>ます。</w:t>
            </w:r>
          </w:p>
          <w:p w14:paraId="0D93B757" w14:textId="77777777" w:rsidR="005D1BF1" w:rsidRPr="007E1D0A" w:rsidRDefault="005D1BF1" w:rsidP="00C83998">
            <w:pPr>
              <w:ind w:leftChars="250" w:left="735" w:hangingChars="100" w:hanging="210"/>
              <w:rPr>
                <w:rFonts w:ascii="ＭＳ Ｐ明朝" w:eastAsia="ＭＳ Ｐ明朝" w:hAnsi="ＭＳ Ｐ明朝"/>
              </w:rPr>
            </w:pPr>
            <w:r>
              <w:rPr>
                <w:rFonts w:ascii="ＭＳ Ｐ明朝" w:eastAsia="ＭＳ Ｐ明朝" w:hAnsi="ＭＳ Ｐ明朝" w:hint="eastAsia"/>
              </w:rPr>
              <w:t>※</w:t>
            </w:r>
            <w:r w:rsidRPr="00D7451D">
              <w:rPr>
                <w:rFonts w:ascii="ＭＳ Ｐ明朝" w:eastAsia="ＭＳ Ｐ明朝" w:hAnsi="ＭＳ Ｐ明朝" w:hint="eastAsia"/>
              </w:rPr>
              <w:t>金融庁マネロンガイドラインにおいて</w:t>
            </w:r>
            <w:r>
              <w:rPr>
                <w:rFonts w:ascii="ＭＳ Ｐ明朝" w:eastAsia="ＭＳ Ｐ明朝" w:hAnsi="ＭＳ Ｐ明朝" w:hint="eastAsia"/>
              </w:rPr>
              <w:t>金融機関等に対し</w:t>
            </w:r>
            <w:r w:rsidRPr="00D7451D">
              <w:rPr>
                <w:rFonts w:ascii="ＭＳ Ｐ明朝" w:eastAsia="ＭＳ Ｐ明朝" w:hAnsi="ＭＳ Ｐ明朝" w:hint="eastAsia"/>
              </w:rPr>
              <w:t>、マネロン・テロ資金供与リスクが高いと判断した顧客については、資産・収入の状況、取引の目的、職業・地位、資金源等、リスクに応じ追加的な情報を入手することが求められて</w:t>
            </w:r>
            <w:r>
              <w:rPr>
                <w:rFonts w:ascii="ＭＳ Ｐ明朝" w:eastAsia="ＭＳ Ｐ明朝" w:hAnsi="ＭＳ Ｐ明朝" w:hint="eastAsia"/>
              </w:rPr>
              <w:t>います。</w:t>
            </w:r>
          </w:p>
          <w:p w14:paraId="76ED3BF9" w14:textId="77777777" w:rsidR="005D1BF1" w:rsidRDefault="005D1BF1" w:rsidP="00C83998">
            <w:pPr>
              <w:ind w:leftChars="100" w:left="525" w:hangingChars="150" w:hanging="315"/>
              <w:rPr>
                <w:rFonts w:ascii="ＭＳ Ｐ明朝" w:eastAsia="ＭＳ Ｐ明朝" w:hAnsi="ＭＳ Ｐ明朝"/>
              </w:rPr>
            </w:pPr>
            <w:r>
              <w:rPr>
                <w:rFonts w:ascii="ＭＳ Ｐ明朝" w:eastAsia="ＭＳ Ｐ明朝" w:hAnsi="ＭＳ Ｐ明朝" w:hint="eastAsia"/>
              </w:rPr>
              <w:t xml:space="preserve">　③代理店として既に取引時確認を行ったことがあるお客さまであっても、保険会社毎に都度取引時確認が必要となる点には留意が必要です。</w:t>
            </w:r>
          </w:p>
          <w:p w14:paraId="0622C894" w14:textId="77777777" w:rsidR="005D1BF1" w:rsidRPr="003F6113" w:rsidRDefault="005D1BF1" w:rsidP="00C83998">
            <w:pPr>
              <w:ind w:leftChars="100" w:left="525" w:hangingChars="150" w:hanging="315"/>
              <w:rPr>
                <w:rFonts w:ascii="ＭＳ Ｐ明朝" w:eastAsia="ＭＳ Ｐ明朝" w:hAnsi="ＭＳ Ｐ明朝"/>
              </w:rPr>
            </w:pPr>
            <w:r>
              <w:rPr>
                <w:rFonts w:ascii="ＭＳ Ｐ明朝" w:eastAsia="ＭＳ Ｐ明朝" w:hAnsi="ＭＳ Ｐ明朝" w:hint="eastAsia"/>
              </w:rPr>
              <w:t xml:space="preserve">　④</w:t>
            </w:r>
            <w:r w:rsidRPr="0036401B">
              <w:rPr>
                <w:rFonts w:ascii="ＭＳ Ｐ明朝" w:eastAsia="ＭＳ Ｐ明朝" w:hAnsi="ＭＳ Ｐ明朝" w:hint="eastAsia"/>
              </w:rPr>
              <w:t>お客さまが取引時確認に応じない場合には、手続きを行ってはいけません。</w:t>
            </w:r>
          </w:p>
        </w:tc>
      </w:tr>
    </w:tbl>
    <w:p w14:paraId="5D74C64B" w14:textId="77777777" w:rsidR="005D1BF1" w:rsidRDefault="005D1BF1" w:rsidP="005D1BF1"/>
    <w:p w14:paraId="63E81DF6" w14:textId="77777777" w:rsidR="005D1BF1" w:rsidRDefault="005D1BF1" w:rsidP="005D1BF1">
      <w:pPr>
        <w:widowControl/>
        <w:jc w:val="left"/>
        <w:rPr>
          <w:rFonts w:ascii="ＭＳ Ｐ明朝" w:eastAsia="ＭＳ Ｐ明朝" w:hAnsi="ＭＳ Ｐ明朝"/>
        </w:rPr>
      </w:pPr>
      <w:r w:rsidRPr="00322B26">
        <w:rPr>
          <w:rFonts w:ascii="ＭＳ Ｐ明朝" w:eastAsia="ＭＳ Ｐ明朝" w:hAnsi="ＭＳ Ｐ明朝" w:hint="eastAsia"/>
        </w:rPr>
        <w:t>2．「疑わしい取引」の届出</w:t>
      </w:r>
    </w:p>
    <w:p w14:paraId="5AD243BA" w14:textId="77777777" w:rsidR="005D1BF1" w:rsidRPr="00F84010" w:rsidRDefault="005D1BF1" w:rsidP="005D1BF1">
      <w:pPr>
        <w:ind w:firstLineChars="100" w:firstLine="210"/>
        <w:rPr>
          <w:rFonts w:ascii="ＭＳ Ｐ明朝" w:eastAsia="ＭＳ Ｐ明朝" w:hAnsi="ＭＳ Ｐ明朝"/>
        </w:rPr>
      </w:pPr>
      <w:r>
        <w:rPr>
          <w:rFonts w:ascii="ＭＳ Ｐ明朝" w:eastAsia="ＭＳ Ｐ明朝" w:hAnsi="ＭＳ Ｐ明朝" w:hint="eastAsia"/>
        </w:rPr>
        <w:t>＜犯収法において「疑わしい取引」の届出が求められる事項＞</w:t>
      </w:r>
    </w:p>
    <w:tbl>
      <w:tblPr>
        <w:tblStyle w:val="a8"/>
        <w:tblW w:w="0" w:type="auto"/>
        <w:tblInd w:w="108" w:type="dxa"/>
        <w:tblLook w:val="04A0" w:firstRow="1" w:lastRow="0" w:firstColumn="1" w:lastColumn="0" w:noHBand="0" w:noVBand="1"/>
      </w:tblPr>
      <w:tblGrid>
        <w:gridCol w:w="8386"/>
      </w:tblGrid>
      <w:tr w:rsidR="005D1BF1" w14:paraId="61239E2A" w14:textId="77777777" w:rsidTr="00C83998">
        <w:tc>
          <w:tcPr>
            <w:tcW w:w="9781" w:type="dxa"/>
          </w:tcPr>
          <w:p w14:paraId="4F7D1CD9" w14:textId="77777777" w:rsidR="005D1BF1" w:rsidRPr="00F84010" w:rsidRDefault="005D1BF1" w:rsidP="00C83998">
            <w:pPr>
              <w:ind w:firstLineChars="100" w:firstLine="210"/>
              <w:rPr>
                <w:rFonts w:ascii="ＭＳ Ｐ明朝" w:eastAsia="ＭＳ Ｐ明朝" w:hAnsi="ＭＳ Ｐ明朝"/>
              </w:rPr>
            </w:pPr>
            <w:r w:rsidRPr="00F84010">
              <w:rPr>
                <w:rFonts w:ascii="ＭＳ Ｐ明朝" w:eastAsia="ＭＳ Ｐ明朝" w:hAnsi="ＭＳ Ｐ明朝" w:hint="eastAsia"/>
              </w:rPr>
              <w:t>ア．当該業務において収受した財産が犯罪による収益である疑いがある場合</w:t>
            </w:r>
          </w:p>
          <w:p w14:paraId="0DC8885A" w14:textId="77777777" w:rsidR="005D1BF1" w:rsidRPr="00F84010" w:rsidRDefault="005D1BF1" w:rsidP="00C83998">
            <w:pPr>
              <w:ind w:leftChars="100" w:left="525" w:hangingChars="150" w:hanging="315"/>
              <w:rPr>
                <w:rFonts w:ascii="ＭＳ Ｐ明朝" w:eastAsia="ＭＳ Ｐ明朝" w:hAnsi="ＭＳ Ｐ明朝"/>
              </w:rPr>
            </w:pPr>
            <w:r w:rsidRPr="00F84010">
              <w:rPr>
                <w:rFonts w:ascii="ＭＳ Ｐ明朝" w:eastAsia="ＭＳ Ｐ明朝" w:hAnsi="ＭＳ Ｐ明朝" w:hint="eastAsia"/>
              </w:rPr>
              <w:t>イ．犯罪収益等隠匿罪（組織的犯罪処罰法第10条）もしくは薬物犯罪収益等隠匿罪（麻薬特例法第6条）に当たる行為を行っている疑いがあると認められる場合</w:t>
            </w:r>
          </w:p>
        </w:tc>
      </w:tr>
    </w:tbl>
    <w:p w14:paraId="2E779750" w14:textId="77777777" w:rsidR="005D1BF1" w:rsidRDefault="005D1BF1" w:rsidP="005D1BF1">
      <w:pPr>
        <w:rPr>
          <w:rFonts w:ascii="ＭＳ Ｐ明朝" w:eastAsia="ＭＳ Ｐ明朝" w:hAnsi="ＭＳ Ｐ明朝"/>
        </w:rPr>
      </w:pPr>
    </w:p>
    <w:p w14:paraId="3CF49AAD" w14:textId="77777777" w:rsidR="005D1BF1" w:rsidRDefault="005D1BF1" w:rsidP="005D1BF1">
      <w:pPr>
        <w:rPr>
          <w:rFonts w:ascii="ＭＳ Ｐ明朝" w:eastAsia="ＭＳ Ｐ明朝" w:hAnsi="ＭＳ Ｐ明朝"/>
        </w:rPr>
      </w:pPr>
    </w:p>
    <w:p w14:paraId="0EDEA4AF" w14:textId="77777777" w:rsidR="005D1BF1" w:rsidRDefault="005D1BF1" w:rsidP="005D1BF1">
      <w:pPr>
        <w:rPr>
          <w:rFonts w:ascii="ＭＳ Ｐ明朝" w:eastAsia="ＭＳ Ｐ明朝" w:hAnsi="ＭＳ Ｐ明朝"/>
        </w:rPr>
      </w:pPr>
    </w:p>
    <w:p w14:paraId="0E608C25" w14:textId="77777777" w:rsidR="005D1BF1" w:rsidRDefault="005D1BF1" w:rsidP="005D1BF1">
      <w:pPr>
        <w:rPr>
          <w:rFonts w:ascii="ＭＳ Ｐ明朝" w:eastAsia="ＭＳ Ｐ明朝" w:hAnsi="ＭＳ Ｐ明朝"/>
        </w:rPr>
      </w:pPr>
    </w:p>
    <w:p w14:paraId="28ED0E42" w14:textId="77777777" w:rsidR="005D1BF1" w:rsidRPr="00D0711F" w:rsidRDefault="005D1BF1" w:rsidP="005D1BF1">
      <w:pPr>
        <w:ind w:firstLineChars="100" w:firstLine="210"/>
        <w:rPr>
          <w:rFonts w:ascii="ＭＳ Ｐ明朝" w:eastAsia="ＭＳ Ｐ明朝" w:hAnsi="ＭＳ Ｐ明朝"/>
          <w:bdr w:val="single" w:sz="4" w:space="0" w:color="auto"/>
        </w:rPr>
      </w:pPr>
      <w:r>
        <w:rPr>
          <w:rFonts w:ascii="ＭＳ Ｐ明朝" w:eastAsia="ＭＳ Ｐ明朝" w:hAnsi="ＭＳ Ｐ明朝" w:hint="eastAsia"/>
        </w:rPr>
        <w:t>＜</w:t>
      </w:r>
      <w:r w:rsidRPr="0036401B">
        <w:rPr>
          <w:rFonts w:ascii="ＭＳ Ｐ明朝" w:eastAsia="ＭＳ Ｐ明朝" w:hAnsi="ＭＳ Ｐ明朝" w:hint="eastAsia"/>
        </w:rPr>
        <w:t>実務上の留意事項</w:t>
      </w:r>
      <w:r>
        <w:rPr>
          <w:rFonts w:ascii="ＭＳ Ｐ明朝" w:eastAsia="ＭＳ Ｐ明朝" w:hAnsi="ＭＳ Ｐ明朝" w:hint="eastAsia"/>
        </w:rPr>
        <w:t>＞</w:t>
      </w:r>
    </w:p>
    <w:tbl>
      <w:tblPr>
        <w:tblStyle w:val="a8"/>
        <w:tblW w:w="0" w:type="auto"/>
        <w:tblInd w:w="108" w:type="dxa"/>
        <w:tblLook w:val="04A0" w:firstRow="1" w:lastRow="0" w:firstColumn="1" w:lastColumn="0" w:noHBand="0" w:noVBand="1"/>
      </w:tblPr>
      <w:tblGrid>
        <w:gridCol w:w="8386"/>
      </w:tblGrid>
      <w:tr w:rsidR="005D1BF1" w14:paraId="503DBF17" w14:textId="77777777" w:rsidTr="00C83998">
        <w:tc>
          <w:tcPr>
            <w:tcW w:w="9781" w:type="dxa"/>
            <w:tcBorders>
              <w:top w:val="dashSmallGap" w:sz="4" w:space="0" w:color="auto"/>
              <w:left w:val="dashSmallGap" w:sz="4" w:space="0" w:color="auto"/>
              <w:bottom w:val="dashSmallGap" w:sz="4" w:space="0" w:color="auto"/>
              <w:right w:val="dashSmallGap" w:sz="4" w:space="0" w:color="auto"/>
            </w:tcBorders>
          </w:tcPr>
          <w:p w14:paraId="2948B0E7" w14:textId="77777777" w:rsidR="005D1BF1" w:rsidRDefault="005D1BF1" w:rsidP="00C83998">
            <w:pPr>
              <w:ind w:leftChars="100" w:left="525" w:hangingChars="150" w:hanging="315"/>
              <w:rPr>
                <w:rFonts w:ascii="ＭＳ Ｐ明朝" w:eastAsia="ＭＳ Ｐ明朝" w:hAnsi="ＭＳ Ｐ明朝"/>
              </w:rPr>
            </w:pPr>
            <w:r>
              <w:rPr>
                <w:rFonts w:ascii="ＭＳ Ｐ明朝" w:eastAsia="ＭＳ Ｐ明朝" w:hAnsi="ＭＳ Ｐ明朝" w:hint="eastAsia"/>
              </w:rPr>
              <w:t xml:space="preserve">　①</w:t>
            </w:r>
            <w:r w:rsidRPr="00D7451D">
              <w:rPr>
                <w:rFonts w:ascii="ＭＳ Ｐ明朝" w:eastAsia="ＭＳ Ｐ明朝" w:hAnsi="ＭＳ Ｐ明朝" w:hint="eastAsia"/>
              </w:rPr>
              <w:t>疑わしい取引</w:t>
            </w:r>
            <w:r>
              <w:rPr>
                <w:rFonts w:ascii="ＭＳ Ｐ明朝" w:eastAsia="ＭＳ Ｐ明朝" w:hAnsi="ＭＳ Ｐ明朝" w:hint="eastAsia"/>
              </w:rPr>
              <w:t>への</w:t>
            </w:r>
            <w:r w:rsidRPr="00D7451D">
              <w:rPr>
                <w:rFonts w:ascii="ＭＳ Ｐ明朝" w:eastAsia="ＭＳ Ｐ明朝" w:hAnsi="ＭＳ Ｐ明朝" w:hint="eastAsia"/>
              </w:rPr>
              <w:t>該当</w:t>
            </w:r>
            <w:r>
              <w:rPr>
                <w:rFonts w:ascii="ＭＳ Ｐ明朝" w:eastAsia="ＭＳ Ｐ明朝" w:hAnsi="ＭＳ Ｐ明朝" w:hint="eastAsia"/>
              </w:rPr>
              <w:t>については、生命保険協会「</w:t>
            </w:r>
            <w:r w:rsidRPr="00815E55">
              <w:rPr>
                <w:rFonts w:ascii="ＭＳ Ｐ明朝" w:eastAsia="ＭＳ Ｐ明朝" w:hAnsi="ＭＳ Ｐ明朝" w:hint="eastAsia"/>
              </w:rPr>
              <w:t>マネー・ローンダリング</w:t>
            </w:r>
            <w:r w:rsidRPr="00F84010">
              <w:rPr>
                <w:rFonts w:ascii="ＭＳ Ｐ明朝" w:eastAsia="ＭＳ Ｐ明朝" w:hAnsi="ＭＳ Ｐ明朝" w:hint="eastAsia"/>
              </w:rPr>
              <w:t>/テロ資金供与対策ハンドブック</w:t>
            </w:r>
            <w:r>
              <w:rPr>
                <w:rFonts w:ascii="ＭＳ Ｐ明朝" w:eastAsia="ＭＳ Ｐ明朝" w:hAnsi="ＭＳ Ｐ明朝" w:hint="eastAsia"/>
              </w:rPr>
              <w:t>」記載の「</w:t>
            </w:r>
            <w:r w:rsidRPr="00815E55">
              <w:rPr>
                <w:rFonts w:ascii="ＭＳ Ｐ明朝" w:eastAsia="ＭＳ Ｐ明朝" w:hAnsi="ＭＳ Ｐ明朝" w:hint="eastAsia"/>
              </w:rPr>
              <w:t>疑わしい取引</w:t>
            </w:r>
            <w:r>
              <w:rPr>
                <w:rFonts w:ascii="ＭＳ Ｐ明朝" w:eastAsia="ＭＳ Ｐ明朝" w:hAnsi="ＭＳ Ｐ明朝" w:hint="eastAsia"/>
              </w:rPr>
              <w:t>の具体的事例」等を参考とします。</w:t>
            </w:r>
          </w:p>
          <w:p w14:paraId="64B746DD" w14:textId="77777777" w:rsidR="005D1BF1" w:rsidRDefault="005D1BF1" w:rsidP="00C83998">
            <w:pPr>
              <w:ind w:firstLineChars="250" w:firstLine="525"/>
              <w:rPr>
                <w:rFonts w:ascii="ＭＳ Ｐ明朝" w:eastAsia="ＭＳ Ｐ明朝" w:hAnsi="ＭＳ Ｐ明朝"/>
              </w:rPr>
            </w:pPr>
            <w:r>
              <w:rPr>
                <w:rFonts w:ascii="ＭＳ Ｐ明朝" w:eastAsia="ＭＳ Ｐ明朝" w:hAnsi="ＭＳ Ｐ明朝" w:hint="eastAsia"/>
              </w:rPr>
              <w:t>(参考) 生命保険協会「</w:t>
            </w:r>
            <w:r w:rsidRPr="0088294C">
              <w:rPr>
                <w:rFonts w:ascii="ＭＳ Ｐ明朝" w:eastAsia="ＭＳ Ｐ明朝" w:hAnsi="ＭＳ Ｐ明朝" w:hint="eastAsia"/>
              </w:rPr>
              <w:t>マネー・ローンダリング／テロ資金供与対策ハンドブック</w:t>
            </w:r>
            <w:r>
              <w:rPr>
                <w:rFonts w:ascii="ＭＳ Ｐ明朝" w:eastAsia="ＭＳ Ｐ明朝" w:hAnsi="ＭＳ Ｐ明朝" w:hint="eastAsia"/>
              </w:rPr>
              <w:t>」</w:t>
            </w:r>
          </w:p>
          <w:p w14:paraId="662667EC" w14:textId="77777777" w:rsidR="005D1BF1" w:rsidRPr="0088294C" w:rsidRDefault="005D1BF1" w:rsidP="00C83998">
            <w:pPr>
              <w:ind w:firstLineChars="550" w:firstLine="1155"/>
              <w:rPr>
                <w:rFonts w:ascii="ＭＳ Ｐ明朝" w:eastAsia="ＭＳ Ｐ明朝" w:hAnsi="ＭＳ Ｐ明朝"/>
              </w:rPr>
            </w:pPr>
            <w:hyperlink r:id="rId7" w:history="1">
              <w:r w:rsidRPr="00914ACB">
                <w:rPr>
                  <w:rStyle w:val="a9"/>
                  <w:rFonts w:ascii="ＭＳ Ｐ明朝" w:eastAsia="ＭＳ Ｐ明朝" w:hAnsi="ＭＳ Ｐ明朝"/>
                </w:rPr>
                <w:t>http://www.seiho.or.jp/activity/guideline/pdf/laundering.pdf</w:t>
              </w:r>
            </w:hyperlink>
          </w:p>
          <w:p w14:paraId="6A6DA831" w14:textId="77777777" w:rsidR="005D1BF1" w:rsidRDefault="005D1BF1" w:rsidP="00C83998">
            <w:pPr>
              <w:ind w:leftChars="100" w:left="525" w:hangingChars="150" w:hanging="315"/>
              <w:rPr>
                <w:rFonts w:ascii="ＭＳ Ｐ明朝" w:eastAsia="ＭＳ Ｐ明朝" w:hAnsi="ＭＳ Ｐ明朝"/>
              </w:rPr>
            </w:pPr>
            <w:r>
              <w:rPr>
                <w:rFonts w:ascii="ＭＳ Ｐ明朝" w:eastAsia="ＭＳ Ｐ明朝" w:hAnsi="ＭＳ Ｐ明朝" w:hint="eastAsia"/>
              </w:rPr>
              <w:t xml:space="preserve">　②</w:t>
            </w:r>
            <w:r w:rsidRPr="00D7451D">
              <w:rPr>
                <w:rFonts w:ascii="ＭＳ Ｐ明朝" w:eastAsia="ＭＳ Ｐ明朝" w:hAnsi="ＭＳ Ｐ明朝" w:hint="eastAsia"/>
              </w:rPr>
              <w:t>疑わしい取引</w:t>
            </w:r>
            <w:r>
              <w:rPr>
                <w:rFonts w:ascii="ＭＳ Ｐ明朝" w:eastAsia="ＭＳ Ｐ明朝" w:hAnsi="ＭＳ Ｐ明朝" w:hint="eastAsia"/>
              </w:rPr>
              <w:t>への</w:t>
            </w:r>
            <w:r w:rsidRPr="00D7451D">
              <w:rPr>
                <w:rFonts w:ascii="ＭＳ Ｐ明朝" w:eastAsia="ＭＳ Ｐ明朝" w:hAnsi="ＭＳ Ｐ明朝" w:hint="eastAsia"/>
              </w:rPr>
              <w:t>該当</w:t>
            </w:r>
            <w:r w:rsidRPr="00F84010">
              <w:rPr>
                <w:rFonts w:ascii="ＭＳ Ｐ明朝" w:eastAsia="ＭＳ Ｐ明朝" w:hAnsi="ＭＳ Ｐ明朝" w:hint="eastAsia"/>
              </w:rPr>
              <w:t>が疑われる場合には、直ちに社内マネー・ローンダリング防止責任者へ連絡のうえ、</w:t>
            </w:r>
            <w:r>
              <w:rPr>
                <w:rFonts w:ascii="ＭＳ Ｐ明朝" w:eastAsia="ＭＳ Ｐ明朝" w:hAnsi="ＭＳ Ｐ明朝" w:hint="eastAsia"/>
              </w:rPr>
              <w:t>各</w:t>
            </w:r>
            <w:r w:rsidRPr="00F84010">
              <w:rPr>
                <w:rFonts w:ascii="ＭＳ Ｐ明朝" w:eastAsia="ＭＳ Ｐ明朝" w:hAnsi="ＭＳ Ｐ明朝" w:hint="eastAsia"/>
              </w:rPr>
              <w:t>保険会社</w:t>
            </w:r>
            <w:r>
              <w:rPr>
                <w:rFonts w:ascii="ＭＳ Ｐ明朝" w:eastAsia="ＭＳ Ｐ明朝" w:hAnsi="ＭＳ Ｐ明朝" w:hint="eastAsia"/>
              </w:rPr>
              <w:t>の定める方法に従って保険会社あて</w:t>
            </w:r>
            <w:r w:rsidRPr="00F84010">
              <w:rPr>
                <w:rFonts w:ascii="ＭＳ Ｐ明朝" w:eastAsia="ＭＳ Ｐ明朝" w:hAnsi="ＭＳ Ｐ明朝" w:hint="eastAsia"/>
              </w:rPr>
              <w:t>報告</w:t>
            </w:r>
            <w:r>
              <w:rPr>
                <w:rFonts w:ascii="ＭＳ Ｐ明朝" w:eastAsia="ＭＳ Ｐ明朝" w:hAnsi="ＭＳ Ｐ明朝" w:hint="eastAsia"/>
              </w:rPr>
              <w:t>を行い</w:t>
            </w:r>
            <w:r w:rsidRPr="00F84010">
              <w:rPr>
                <w:rFonts w:ascii="ＭＳ Ｐ明朝" w:eastAsia="ＭＳ Ｐ明朝" w:hAnsi="ＭＳ Ｐ明朝" w:hint="eastAsia"/>
              </w:rPr>
              <w:t>ます（契約不成立の場合も含む）。</w:t>
            </w:r>
          </w:p>
          <w:p w14:paraId="0BDA4961" w14:textId="77777777" w:rsidR="005D1BF1" w:rsidRPr="003F6113" w:rsidRDefault="005D1BF1" w:rsidP="00C83998">
            <w:pPr>
              <w:ind w:leftChars="100" w:left="525" w:hangingChars="150" w:hanging="315"/>
              <w:rPr>
                <w:rFonts w:ascii="ＭＳ Ｐ明朝" w:eastAsia="ＭＳ Ｐ明朝" w:hAnsi="ＭＳ Ｐ明朝"/>
              </w:rPr>
            </w:pPr>
            <w:r>
              <w:rPr>
                <w:rFonts w:ascii="ＭＳ Ｐ明朝" w:eastAsia="ＭＳ Ｐ明朝" w:hAnsi="ＭＳ Ｐ明朝" w:hint="eastAsia"/>
              </w:rPr>
              <w:t xml:space="preserve">　③取引の相手やその関係者に対し、疑わしい取引の届出を行おうとすること、または疑わしい取引の届出を行ったことを伝えることは、犯収法で禁じられています。</w:t>
            </w:r>
          </w:p>
        </w:tc>
      </w:tr>
    </w:tbl>
    <w:p w14:paraId="6BD8BFAD" w14:textId="77777777" w:rsidR="005D1BF1" w:rsidRPr="00A10E93" w:rsidRDefault="005D1BF1" w:rsidP="005D1BF1">
      <w:pPr>
        <w:ind w:left="160" w:hangingChars="100" w:hanging="160"/>
        <w:rPr>
          <w:sz w:val="16"/>
          <w:u w:val="single"/>
        </w:rPr>
      </w:pPr>
      <w:r w:rsidRPr="00A10E93">
        <w:rPr>
          <w:rFonts w:hint="eastAsia"/>
          <w:sz w:val="16"/>
          <w:u w:val="single"/>
        </w:rPr>
        <w:t>※なお本資料は、代理店各社の</w:t>
      </w:r>
      <w:r w:rsidRPr="004B7840">
        <w:rPr>
          <w:rFonts w:hint="eastAsia"/>
          <w:sz w:val="16"/>
          <w:u w:val="single"/>
        </w:rPr>
        <w:t>マネー・ローンダリング／テロ資金供与の防止</w:t>
      </w:r>
      <w:r>
        <w:rPr>
          <w:rFonts w:hint="eastAsia"/>
          <w:sz w:val="16"/>
          <w:u w:val="single"/>
        </w:rPr>
        <w:t>態勢整備</w:t>
      </w:r>
      <w:r w:rsidRPr="00A10E93">
        <w:rPr>
          <w:rFonts w:hint="eastAsia"/>
          <w:sz w:val="16"/>
          <w:u w:val="single"/>
        </w:rPr>
        <w:t>に資することを目的に作成されており、強制力・拘束力を有するものではございません</w:t>
      </w:r>
      <w:r>
        <w:rPr>
          <w:rFonts w:hint="eastAsia"/>
          <w:sz w:val="16"/>
          <w:u w:val="single"/>
        </w:rPr>
        <w:t>。</w:t>
      </w:r>
    </w:p>
    <w:p w14:paraId="753E4662" w14:textId="77777777" w:rsidR="005D1BF1" w:rsidRPr="00BB269F" w:rsidRDefault="005D1BF1" w:rsidP="005D1BF1">
      <w:pPr>
        <w:jc w:val="right"/>
      </w:pPr>
      <w:r>
        <w:rPr>
          <w:rFonts w:hint="eastAsia"/>
        </w:rPr>
        <w:t>以　上</w:t>
      </w:r>
    </w:p>
    <w:p w14:paraId="711F053A" w14:textId="77777777" w:rsidR="005D1BF1" w:rsidRPr="00322B26" w:rsidRDefault="005D1BF1" w:rsidP="005D1BF1"/>
    <w:p w14:paraId="381D59B7" w14:textId="77777777" w:rsidR="006119BB" w:rsidRDefault="006119BB"/>
    <w:sectPr w:rsidR="006119BB" w:rsidSect="005D1BF1">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DA9A" w14:textId="77777777" w:rsidR="005D1BF1" w:rsidRDefault="005D1BF1" w:rsidP="005D1BF1">
      <w:r>
        <w:separator/>
      </w:r>
    </w:p>
  </w:endnote>
  <w:endnote w:type="continuationSeparator" w:id="0">
    <w:p w14:paraId="1EE72ABB" w14:textId="77777777" w:rsidR="005D1BF1" w:rsidRDefault="005D1BF1" w:rsidP="005D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42FA" w14:textId="5B8E12A9" w:rsidR="005D1BF1" w:rsidRDefault="005D1BF1">
    <w:pPr>
      <w:pStyle w:val="a5"/>
    </w:pPr>
    <w:r>
      <w:rPr>
        <w:noProof/>
      </w:rPr>
      <mc:AlternateContent>
        <mc:Choice Requires="wps">
          <w:drawing>
            <wp:anchor distT="0" distB="0" distL="0" distR="0" simplePos="0" relativeHeight="251662336" behindDoc="0" locked="0" layoutInCell="1" allowOverlap="1" wp14:anchorId="746ECE89" wp14:editId="241287B1">
              <wp:simplePos x="635" y="635"/>
              <wp:positionH relativeFrom="page">
                <wp:align>right</wp:align>
              </wp:positionH>
              <wp:positionV relativeFrom="page">
                <wp:align>bottom</wp:align>
              </wp:positionV>
              <wp:extent cx="443865" cy="443865"/>
              <wp:effectExtent l="0" t="0" r="0" b="0"/>
              <wp:wrapNone/>
              <wp:docPr id="87854565"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227D8" w14:textId="427F713F"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6ECE89" id="_x0000_t202" coordsize="21600,21600" o:spt="202" path="m,l,21600r21600,l21600,xe">
              <v:stroke joinstyle="miter"/>
              <v:path gradientshapeok="t" o:connecttype="rect"/>
            </v:shapetype>
            <v:shape id="テキスト ボックス 5" o:spid="_x0000_s1028"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5BC227D8" w14:textId="427F713F"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A597" w14:textId="06E8D782" w:rsidR="005D1BF1" w:rsidRDefault="005D1BF1">
    <w:pPr>
      <w:pStyle w:val="a5"/>
    </w:pPr>
    <w:r>
      <w:rPr>
        <w:noProof/>
      </w:rPr>
      <mc:AlternateContent>
        <mc:Choice Requires="wps">
          <w:drawing>
            <wp:anchor distT="0" distB="0" distL="0" distR="0" simplePos="0" relativeHeight="251663360" behindDoc="0" locked="0" layoutInCell="1" allowOverlap="1" wp14:anchorId="2DA04AC1" wp14:editId="002B35F3">
              <wp:simplePos x="1078302" y="9842740"/>
              <wp:positionH relativeFrom="page">
                <wp:align>right</wp:align>
              </wp:positionH>
              <wp:positionV relativeFrom="page">
                <wp:align>bottom</wp:align>
              </wp:positionV>
              <wp:extent cx="443865" cy="443865"/>
              <wp:effectExtent l="0" t="0" r="0" b="0"/>
              <wp:wrapNone/>
              <wp:docPr id="269269488"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6BAF07" w14:textId="2B268DB0"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A04AC1" id="_x0000_t202" coordsize="21600,21600" o:spt="202" path="m,l,21600r21600,l21600,xe">
              <v:stroke joinstyle="miter"/>
              <v:path gradientshapeok="t" o:connecttype="rect"/>
            </v:shapetype>
            <v:shape id="テキスト ボックス 6" o:spid="_x0000_s1029"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516BAF07" w14:textId="2B268DB0"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818A" w14:textId="210DE1EF" w:rsidR="005D1BF1" w:rsidRDefault="005D1BF1">
    <w:pPr>
      <w:pStyle w:val="a5"/>
    </w:pPr>
    <w:r>
      <w:rPr>
        <w:noProof/>
      </w:rPr>
      <mc:AlternateContent>
        <mc:Choice Requires="wps">
          <w:drawing>
            <wp:anchor distT="0" distB="0" distL="0" distR="0" simplePos="0" relativeHeight="251661312" behindDoc="0" locked="0" layoutInCell="1" allowOverlap="1" wp14:anchorId="2CA157A1" wp14:editId="76A7093A">
              <wp:simplePos x="635" y="635"/>
              <wp:positionH relativeFrom="page">
                <wp:align>right</wp:align>
              </wp:positionH>
              <wp:positionV relativeFrom="page">
                <wp:align>bottom</wp:align>
              </wp:positionV>
              <wp:extent cx="443865" cy="443865"/>
              <wp:effectExtent l="0" t="0" r="0" b="0"/>
              <wp:wrapNone/>
              <wp:docPr id="491496079"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40687" w14:textId="309B4D86"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A157A1" id="_x0000_t202" coordsize="21600,21600" o:spt="202" path="m,l,21600r21600,l21600,xe">
              <v:stroke joinstyle="miter"/>
              <v:path gradientshapeok="t" o:connecttype="rect"/>
            </v:shapetype>
            <v:shape id="テキスト ボックス 4" o:spid="_x0000_s1031"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75A40687" w14:textId="309B4D86"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4C19" w14:textId="77777777" w:rsidR="005D1BF1" w:rsidRDefault="005D1BF1" w:rsidP="005D1BF1">
      <w:r>
        <w:separator/>
      </w:r>
    </w:p>
  </w:footnote>
  <w:footnote w:type="continuationSeparator" w:id="0">
    <w:p w14:paraId="347BE288" w14:textId="77777777" w:rsidR="005D1BF1" w:rsidRDefault="005D1BF1" w:rsidP="005D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6400" w14:textId="79B9FF86" w:rsidR="005D1BF1" w:rsidRDefault="005D1BF1">
    <w:pPr>
      <w:pStyle w:val="a3"/>
    </w:pPr>
    <w:r>
      <w:rPr>
        <w:noProof/>
      </w:rPr>
      <mc:AlternateContent>
        <mc:Choice Requires="wps">
          <w:drawing>
            <wp:anchor distT="0" distB="0" distL="0" distR="0" simplePos="0" relativeHeight="251659264" behindDoc="0" locked="0" layoutInCell="1" allowOverlap="1" wp14:anchorId="6F8CAC57" wp14:editId="2D4DD347">
              <wp:simplePos x="635" y="635"/>
              <wp:positionH relativeFrom="page">
                <wp:align>right</wp:align>
              </wp:positionH>
              <wp:positionV relativeFrom="page">
                <wp:align>top</wp:align>
              </wp:positionV>
              <wp:extent cx="443865" cy="443865"/>
              <wp:effectExtent l="0" t="0" r="0" b="6985"/>
              <wp:wrapNone/>
              <wp:docPr id="225153995"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C6D8E" w14:textId="62439E7A"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8CAC57" id="_x0000_t202" coordsize="21600,21600" o:spt="202" path="m,l,21600r21600,l21600,xe">
              <v:stroke joinstyle="miter"/>
              <v:path gradientshapeok="t" o:connecttype="rect"/>
            </v:shapetype>
            <v:shape id="テキスト ボックス 2" o:spid="_x0000_s1026"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0D3C6D8E" w14:textId="62439E7A"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47E1" w14:textId="63792862" w:rsidR="005D1BF1" w:rsidRDefault="005D1BF1">
    <w:pPr>
      <w:pStyle w:val="a3"/>
    </w:pPr>
    <w:r>
      <w:rPr>
        <w:noProof/>
      </w:rPr>
      <mc:AlternateContent>
        <mc:Choice Requires="wps">
          <w:drawing>
            <wp:anchor distT="0" distB="0" distL="0" distR="0" simplePos="0" relativeHeight="251660288" behindDoc="0" locked="0" layoutInCell="1" allowOverlap="1" wp14:anchorId="3A0F2692" wp14:editId="16176DD8">
              <wp:simplePos x="1078302" y="543464"/>
              <wp:positionH relativeFrom="page">
                <wp:align>right</wp:align>
              </wp:positionH>
              <wp:positionV relativeFrom="page">
                <wp:align>top</wp:align>
              </wp:positionV>
              <wp:extent cx="443865" cy="443865"/>
              <wp:effectExtent l="0" t="0" r="0" b="6985"/>
              <wp:wrapNone/>
              <wp:docPr id="1144159725"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C3411" w14:textId="627620E1"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0F2692" id="_x0000_t202" coordsize="21600,21600" o:spt="202" path="m,l,21600r21600,l21600,xe">
              <v:stroke joinstyle="miter"/>
              <v:path gradientshapeok="t" o:connecttype="rect"/>
            </v:shapetype>
            <v:shape id="テキスト ボックス 3" o:spid="_x0000_s1027"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0C4C3411" w14:textId="627620E1"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C90C" w14:textId="7DBDD8C5" w:rsidR="005D1BF1" w:rsidRDefault="005D1BF1">
    <w:pPr>
      <w:pStyle w:val="a3"/>
    </w:pPr>
    <w:r>
      <w:rPr>
        <w:noProof/>
      </w:rPr>
      <mc:AlternateContent>
        <mc:Choice Requires="wps">
          <w:drawing>
            <wp:anchor distT="0" distB="0" distL="0" distR="0" simplePos="0" relativeHeight="251658240" behindDoc="0" locked="0" layoutInCell="1" allowOverlap="1" wp14:anchorId="7731E69D" wp14:editId="0B7EB266">
              <wp:simplePos x="635" y="635"/>
              <wp:positionH relativeFrom="page">
                <wp:align>right</wp:align>
              </wp:positionH>
              <wp:positionV relativeFrom="page">
                <wp:align>top</wp:align>
              </wp:positionV>
              <wp:extent cx="443865" cy="443865"/>
              <wp:effectExtent l="0" t="0" r="0" b="6985"/>
              <wp:wrapNone/>
              <wp:docPr id="1638745197"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AFD71" w14:textId="1519D4CF"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31E69D" id="_x0000_t202" coordsize="21600,21600" o:spt="202" path="m,l,21600r21600,l21600,xe">
              <v:stroke joinstyle="miter"/>
              <v:path gradientshapeok="t" o:connecttype="rect"/>
            </v:shapetype>
            <v:shape id="テキスト ボックス 1" o:spid="_x0000_s1030"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7F3AFD71" w14:textId="1519D4CF" w:rsidR="005D1BF1" w:rsidRPr="005D1BF1" w:rsidRDefault="005D1BF1" w:rsidP="005D1BF1">
                    <w:pPr>
                      <w:rPr>
                        <w:rFonts w:ascii="Calibri" w:eastAsia="Calibri" w:hAnsi="Calibri" w:cs="Calibri"/>
                        <w:noProof/>
                        <w:color w:val="FF0000"/>
                        <w:sz w:val="20"/>
                        <w:szCs w:val="20"/>
                      </w:rPr>
                    </w:pPr>
                    <w:r w:rsidRPr="005D1BF1">
                      <w:rPr>
                        <w:rFonts w:ascii="Calibri" w:eastAsia="Calibri" w:hAnsi="Calibri" w:cs="Calibri"/>
                        <w:noProof/>
                        <w:color w:val="FF0000"/>
                        <w:sz w:val="20"/>
                        <w:szCs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354F"/>
    <w:multiLevelType w:val="hybridMultilevel"/>
    <w:tmpl w:val="8B56EC70"/>
    <w:lvl w:ilvl="0" w:tplc="0409000B">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 w15:restartNumberingAfterBreak="0">
    <w:nsid w:val="46FE523B"/>
    <w:multiLevelType w:val="hybridMultilevel"/>
    <w:tmpl w:val="C6C4FB3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3993843">
    <w:abstractNumId w:val="1"/>
  </w:num>
  <w:num w:numId="2" w16cid:durableId="24565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03"/>
    <w:rsid w:val="00061503"/>
    <w:rsid w:val="005D1BF1"/>
    <w:rsid w:val="0061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96F6013-B7EB-45FD-A938-88E39D1B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BF1"/>
    <w:pPr>
      <w:tabs>
        <w:tab w:val="center" w:pos="4252"/>
        <w:tab w:val="right" w:pos="8504"/>
      </w:tabs>
      <w:snapToGrid w:val="0"/>
    </w:pPr>
  </w:style>
  <w:style w:type="character" w:customStyle="1" w:styleId="a4">
    <w:name w:val="ヘッダー (文字)"/>
    <w:basedOn w:val="a0"/>
    <w:link w:val="a3"/>
    <w:uiPriority w:val="99"/>
    <w:rsid w:val="005D1BF1"/>
  </w:style>
  <w:style w:type="paragraph" w:styleId="a5">
    <w:name w:val="footer"/>
    <w:basedOn w:val="a"/>
    <w:link w:val="a6"/>
    <w:uiPriority w:val="99"/>
    <w:unhideWhenUsed/>
    <w:rsid w:val="005D1BF1"/>
    <w:pPr>
      <w:tabs>
        <w:tab w:val="center" w:pos="4252"/>
        <w:tab w:val="right" w:pos="8504"/>
      </w:tabs>
      <w:snapToGrid w:val="0"/>
    </w:pPr>
  </w:style>
  <w:style w:type="character" w:customStyle="1" w:styleId="a6">
    <w:name w:val="フッター (文字)"/>
    <w:basedOn w:val="a0"/>
    <w:link w:val="a5"/>
    <w:uiPriority w:val="99"/>
    <w:rsid w:val="005D1BF1"/>
  </w:style>
  <w:style w:type="paragraph" w:styleId="a7">
    <w:name w:val="List Paragraph"/>
    <w:basedOn w:val="a"/>
    <w:uiPriority w:val="34"/>
    <w:qFormat/>
    <w:rsid w:val="005D1BF1"/>
    <w:pPr>
      <w:ind w:leftChars="400" w:left="840"/>
    </w:pPr>
  </w:style>
  <w:style w:type="table" w:styleId="a8">
    <w:name w:val="Table Grid"/>
    <w:basedOn w:val="a1"/>
    <w:uiPriority w:val="59"/>
    <w:rsid w:val="005D1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D1B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iho.or.jp/activity/guideline/pdf/laundering.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かず美 / コンプライアンス部 直属 ＳＯＭＰＯひまわり生命</dc:creator>
  <cp:keywords/>
  <dc:description/>
  <cp:lastModifiedBy>長谷川 かず美 / コンプライアンス部 直属 ＳＯＭＰＯひまわり生命</cp:lastModifiedBy>
  <cp:revision>2</cp:revision>
  <dcterms:created xsi:type="dcterms:W3CDTF">2025-10-22T03:37:00Z</dcterms:created>
  <dcterms:modified xsi:type="dcterms:W3CDTF">2025-10-22T03:38:00Z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61ad446d,d6b93cb,44327ded</vt:lpwstr>
  </property>
  <property fmtid="{D5CDD505-2E9C-101B-9397-08002B2CF9AE}" pid="3" name="ClassificationContentMarkingHeaderFontProps">
    <vt:lpwstr>#ff0000,10,Calibri</vt:lpwstr>
  </property>
  <property fmtid="{D5CDD505-2E9C-101B-9397-08002B2CF9AE}" pid="4" name="ClassificationContentMarkingHeaderText">
    <vt:lpwstr>代理店限り</vt:lpwstr>
  </property>
  <property fmtid="{D5CDD505-2E9C-101B-9397-08002B2CF9AE}" pid="5" name="ClassificationContentMarkingFooterShapeIds">
    <vt:lpwstr>1d4ba28f,53c8de5,100cb9f0</vt:lpwstr>
  </property>
  <property fmtid="{D5CDD505-2E9C-101B-9397-08002B2CF9AE}" pid="6" name="ClassificationContentMarkingFooterFontProps">
    <vt:lpwstr>#ff0000,10,Calibri</vt:lpwstr>
  </property>
  <property fmtid="{D5CDD505-2E9C-101B-9397-08002B2CF9AE}" pid="7" name="ClassificationContentMarkingFooterText">
    <vt:lpwstr>代理店限り</vt:lpwstr>
  </property>
</Properties>
</file>